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ФАХОВОЇ КВАЛІФІКАЦІЇ 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ПЕДАГОГІЧНИХ ПРАЦІВНИКІВ ЗАКЛАДІВ  ОСВІТИ  ЯКІ ЗДІЙСНЮЮТЬ ІНКЛЮЗИВНЕ НАВЧАННЯ УЧНІВ З ООП</w:t>
      </w:r>
    </w:p>
    <w:p w:rsidR="00000000" w:rsidDel="00000000" w:rsidP="00000000" w:rsidRDefault="00000000" w:rsidRPr="00000000" w14:paraId="00000016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«ІНКЛЮЗИВНА ОСВІТА: ТЕОРІЯ ТА ПРАКТИКА»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9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69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6"/>
        <w:gridCol w:w="567"/>
        <w:gridCol w:w="6370"/>
        <w:gridCol w:w="9"/>
        <w:gridCol w:w="567"/>
        <w:tblGridChange w:id="0">
          <w:tblGrid>
            <w:gridCol w:w="2356"/>
            <w:gridCol w:w="567"/>
            <w:gridCol w:w="6370"/>
            <w:gridCol w:w="9"/>
            <w:gridCol w:w="567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 програми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Луценко Т.М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., завідувачка центру підтримки інклюзивної освіти комунального навчального закладу Київської обласної ради «Київський обласний інститут післядипломної освіти педагогічних кадрів»;   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Слободяник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Г. І., Дерій О. В.,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методисти центру підтримки інклюзивної освіти комунального навчального закладу Київської обласної ради «Київський обласний інститут післядипломної освіти педагогічних кадрів». 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Освітня програма підвищення кваліфікації педагогічних працівників закладів освіти  «Інклюзивна освіта: теорія та практика». 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6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Підвищити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методичний та практичний рівні професійної компетентності педагогічних працівників закладів освіти  відповідно до основних напрямів державної освітньої політики в сфері інклюзивної освіти.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96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Формування  у  здобувачів  освіти    професійних компетентностей: вміння визначати сутність та ознаки інклюзивного освітнього процесу, координувати спільну діяльність із командою фахівців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right="106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Год.</w:t>
            </w:r>
          </w:p>
        </w:tc>
      </w:tr>
      <w:tr>
        <w:trPr>
          <w:trHeight w:val="27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Вступ до теми 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right="10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Забезпечення психологічного здоров’я педагогічних працівників в умовах становлення концепції Нової української школи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87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Проблемні питання атестації педагогічних працівників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Побудова індивідуальної траєкторії професійного розвитку вчителя. Технологія створення Е-портфоліо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66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Національне законодавство у сфері інклюзивної освіти. Універсальний дизайн як підхід до формування інклюзивного освітнього середовища: ресурсна кімната, медіатека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9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Організація освітнього процесу в закладах загальної середньої освіти з інклюзивним навчанням в умовах Нової української школи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left="14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Трирівнева модель підтримки дітей з особливими освітніми потребами в умовах інклюзивного навчання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Алгоритм розроблення та структурні компоненти індивідуальної програми розвитку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Основні принципи роботи команди психолого-педагогічного супроводу для забезпечення ефективної підтримки дитини з особливими освітніми потребами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Організаційно-педагогічні аспекти роботи асистента вчителя в класі з інклюзивним навчанням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Партнерська взаємодія з родиною, яка виховує дитину з особливими освітніми потребами:  комунікативні моделі, педагогічні техніки та прийоми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63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Тематична дискусія «Теоретичні та практичні аспекти організації інклюзивного навчання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кредит ЄКТС (26 аудиторні години, 4 годин –самостійна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10195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Результати навчання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9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застосовувати отримані знання в професійній діяльності. </w:t>
            </w:r>
          </w:p>
          <w:p w:rsidR="00000000" w:rsidDel="00000000" w:rsidP="00000000" w:rsidRDefault="00000000" w:rsidRPr="00000000" w14:paraId="0000009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проведення досліджень на відповідному рівні. </w:t>
            </w:r>
          </w:p>
          <w:p w:rsidR="00000000" w:rsidDel="00000000" w:rsidP="00000000" w:rsidRDefault="00000000" w:rsidRPr="00000000" w14:paraId="0000009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генерування нових ідей та креативності у професійній сфері. </w:t>
            </w:r>
          </w:p>
          <w:p w:rsidR="00000000" w:rsidDel="00000000" w:rsidP="00000000" w:rsidRDefault="00000000" w:rsidRPr="00000000" w14:paraId="0000009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виявляти, ставити та вирішувати проблеми. </w:t>
            </w:r>
          </w:p>
          <w:p w:rsidR="00000000" w:rsidDel="00000000" w:rsidP="00000000" w:rsidRDefault="00000000" w:rsidRPr="00000000" w14:paraId="0000009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діяти на основі етичних міркувань (мотивів). </w:t>
            </w:r>
          </w:p>
          <w:p w:rsidR="00000000" w:rsidDel="00000000" w:rsidP="00000000" w:rsidRDefault="00000000" w:rsidRPr="00000000" w14:paraId="0000009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діяти соціально відповідально та свідомо. </w:t>
            </w:r>
          </w:p>
          <w:p w:rsidR="00000000" w:rsidDel="00000000" w:rsidP="00000000" w:rsidRDefault="00000000" w:rsidRPr="00000000" w14:paraId="0000009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мотивувати людей та рухатися до спільної мети. </w:t>
            </w:r>
          </w:p>
          <w:p w:rsidR="00000000" w:rsidDel="00000000" w:rsidP="00000000" w:rsidRDefault="00000000" w:rsidRPr="00000000" w14:paraId="0000009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16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Компетентність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у сфері міжнародного та національного законодавства у сфері інклюзивної освіти;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16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Компетентність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у сфері концептуальних засад інклюзивної освіти (знання та розуміння концепцій і принципів інклюзивної освіти.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16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3. Компетентність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у сфері управління освітнім процесом в умовах інклюзивної освіти).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16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4. Компетентність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щодо закономірностей та вікових особливостей дітей з особливими освітніми потребами. 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16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Компетентність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у сфері організації інклюзивного освітнього середовища (знання способів диференціації, адаптації і модифікації навчального змісту, методів викладання; уміння використовувати принципи універсального дизайну в освітньому процесі; уміння розробляти індивідуальну програму розвитку; володіння методами оцінювання, спираючись на сильні сторони дитини).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07"/>
              </w:tabs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6. Здатність до організації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освітнього процесу та підтримки дітей з особливими освітніми потребами в умовах інклюзивного навчання. 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07"/>
              </w:tabs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7. Здатність до створення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сприятливих умов для взаємодії дітей в процесі інклюзивного навчання. 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07"/>
              </w:tabs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8. Здатність до оволодіння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науково обґрунтованими методами та сучасними технологіями щодо організації власної професійної діяльності з урахуванням особливостей взаємодії із працівниками закладу освіти, а також з батьками дітей з особливими освітніми потребами. </w:t>
            </w:r>
          </w:p>
        </w:tc>
      </w:tr>
    </w:tbl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605"/>
        <w:jc w:val="both"/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3" w:hanging="360"/>
      </w:pPr>
      <w:rPr/>
    </w:lvl>
    <w:lvl w:ilvl="1">
      <w:start w:val="1"/>
      <w:numFmt w:val="lowerLetter"/>
      <w:lvlText w:val="%2."/>
      <w:lvlJc w:val="left"/>
      <w:pPr>
        <w:ind w:left="1083" w:hanging="360"/>
      </w:pPr>
      <w:rPr/>
    </w:lvl>
    <w:lvl w:ilvl="2">
      <w:start w:val="1"/>
      <w:numFmt w:val="lowerRoman"/>
      <w:lvlText w:val="%3."/>
      <w:lvlJc w:val="right"/>
      <w:pPr>
        <w:ind w:left="1803" w:hanging="180"/>
      </w:pPr>
      <w:rPr/>
    </w:lvl>
    <w:lvl w:ilvl="3">
      <w:start w:val="1"/>
      <w:numFmt w:val="decimal"/>
      <w:lvlText w:val="%4."/>
      <w:lvlJc w:val="left"/>
      <w:pPr>
        <w:ind w:left="2523" w:hanging="360"/>
      </w:pPr>
      <w:rPr/>
    </w:lvl>
    <w:lvl w:ilvl="4">
      <w:start w:val="1"/>
      <w:numFmt w:val="lowerLetter"/>
      <w:lvlText w:val="%5."/>
      <w:lvlJc w:val="left"/>
      <w:pPr>
        <w:ind w:left="3243" w:hanging="360"/>
      </w:pPr>
      <w:rPr/>
    </w:lvl>
    <w:lvl w:ilvl="5">
      <w:start w:val="1"/>
      <w:numFmt w:val="lowerRoman"/>
      <w:lvlText w:val="%6."/>
      <w:lvlJc w:val="right"/>
      <w:pPr>
        <w:ind w:left="3963" w:hanging="180"/>
      </w:pPr>
      <w:rPr/>
    </w:lvl>
    <w:lvl w:ilvl="6">
      <w:start w:val="1"/>
      <w:numFmt w:val="decimal"/>
      <w:lvlText w:val="%7."/>
      <w:lvlJc w:val="left"/>
      <w:pPr>
        <w:ind w:left="4683" w:hanging="360"/>
      </w:pPr>
      <w:rPr/>
    </w:lvl>
    <w:lvl w:ilvl="7">
      <w:start w:val="1"/>
      <w:numFmt w:val="lowerLetter"/>
      <w:lvlText w:val="%8."/>
      <w:lvlJc w:val="left"/>
      <w:pPr>
        <w:ind w:left="5403" w:hanging="360"/>
      </w:pPr>
      <w:rPr/>
    </w:lvl>
    <w:lvl w:ilvl="8">
      <w:start w:val="1"/>
      <w:numFmt w:val="lowerRoman"/>
      <w:lvlText w:val="%9."/>
      <w:lvlJc w:val="right"/>
      <w:pPr>
        <w:ind w:left="6123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C46D58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C46D58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sid w:val="00C46D58"/>
    <w:rPr>
      <w:sz w:val="28"/>
      <w:szCs w:val="28"/>
    </w:rPr>
  </w:style>
  <w:style w:type="paragraph" w:styleId="a5">
    <w:name w:val="List Paragraph"/>
    <w:basedOn w:val="a"/>
    <w:uiPriority w:val="1"/>
    <w:qFormat w:val="1"/>
    <w:rsid w:val="00C46D58"/>
  </w:style>
  <w:style w:type="paragraph" w:styleId="TableParagraph" w:customStyle="1">
    <w:name w:val="Table Paragraph"/>
    <w:basedOn w:val="a"/>
    <w:uiPriority w:val="1"/>
    <w:qFormat w:val="1"/>
    <w:rsid w:val="00C46D58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20" w:customStyle="1">
    <w:name w:val="Основной текст (2)_"/>
    <w:basedOn w:val="a0"/>
    <w:link w:val="21"/>
    <w:locked w:val="1"/>
    <w:rsid w:val="00506082"/>
    <w:rPr>
      <w:rFonts w:ascii="Times New Roman" w:cs="Times New Roman" w:eastAsia="Times New Roman" w:hAnsi="Times New Roman"/>
      <w:sz w:val="28"/>
      <w:szCs w:val="28"/>
      <w:shd w:color="auto" w:fill="ffffff" w:val="clear"/>
    </w:rPr>
  </w:style>
  <w:style w:type="paragraph" w:styleId="21" w:customStyle="1">
    <w:name w:val="Основной текст (2)"/>
    <w:basedOn w:val="a"/>
    <w:link w:val="20"/>
    <w:rsid w:val="00506082"/>
    <w:pPr>
      <w:shd w:color="auto" w:fill="ffffff" w:val="clear"/>
      <w:spacing w:before="240" w:line="0" w:lineRule="atLeast"/>
      <w:ind w:hanging="440"/>
      <w:jc w:val="center"/>
    </w:pPr>
    <w:rPr>
      <w:sz w:val="28"/>
      <w:szCs w:val="28"/>
      <w:lang w:bidi="ar-SA" w:eastAsia="en-US" w:val="en-US"/>
    </w:rPr>
  </w:style>
  <w:style w:type="character" w:styleId="22" w:customStyle="1">
    <w:name w:val="Основной текст (2) + Курсив"/>
    <w:basedOn w:val="20"/>
    <w:rsid w:val="00506082"/>
    <w:rPr>
      <w:rFonts w:ascii="Times New Roman" w:cs="Times New Roman" w:eastAsia="Times New Roman" w:hAnsi="Times New Roman"/>
      <w:i w:val="1"/>
      <w:iCs w:val="1"/>
      <w:color w:val="000000"/>
      <w:spacing w:val="0"/>
      <w:w w:val="100"/>
      <w:position w:val="0"/>
      <w:sz w:val="28"/>
      <w:szCs w:val="28"/>
      <w:shd w:color="auto" w:fill="ffffff" w:val="clear"/>
      <w:lang w:bidi="uk-UA" w:eastAsia="uk-UA" w:val="uk-UA"/>
    </w:rPr>
  </w:style>
  <w:style w:type="paragraph" w:styleId="23" w:customStyle="1">
    <w:name w:val="Звичайний2"/>
    <w:rsid w:val="00FB4ECB"/>
    <w:pPr>
      <w:widowControl w:val="1"/>
    </w:pPr>
    <w:rPr>
      <w:rFonts w:ascii="Arial" w:cs="Arial" w:eastAsia="Arial" w:hAnsi="Arial"/>
      <w:sz w:val="20"/>
      <w:szCs w:val="20"/>
    </w:rPr>
  </w:style>
  <w:style w:type="character" w:styleId="30" w:customStyle="1">
    <w:name w:val="Основной текст (3)_"/>
    <w:basedOn w:val="a0"/>
    <w:link w:val="31"/>
    <w:rsid w:val="00FB4ECB"/>
    <w:rPr>
      <w:rFonts w:ascii="Times New Roman" w:cs="Times New Roman" w:eastAsia="Times New Roman" w:hAnsi="Times New Roman"/>
      <w:b w:val="1"/>
      <w:bCs w:val="1"/>
      <w:sz w:val="28"/>
      <w:szCs w:val="28"/>
      <w:shd w:color="auto" w:fill="ffffff" w:val="clear"/>
    </w:rPr>
  </w:style>
  <w:style w:type="paragraph" w:styleId="31" w:customStyle="1">
    <w:name w:val="Основной текст (3)"/>
    <w:basedOn w:val="a"/>
    <w:link w:val="30"/>
    <w:rsid w:val="00FB4ECB"/>
    <w:pPr>
      <w:shd w:color="auto" w:fill="ffffff" w:val="clear"/>
      <w:spacing w:line="0" w:lineRule="atLeast"/>
    </w:pPr>
    <w:rPr>
      <w:b w:val="1"/>
      <w:bCs w:val="1"/>
      <w:sz w:val="28"/>
      <w:szCs w:val="28"/>
      <w:lang w:bidi="ar-SA" w:eastAsia="en-US" w:val="en-US"/>
    </w:rPr>
  </w:style>
  <w:style w:type="paragraph" w:styleId="Default" w:customStyle="1">
    <w:name w:val="Default"/>
    <w:uiPriority w:val="99"/>
    <w:rsid w:val="00AC07A9"/>
    <w:pPr>
      <w:widowControl w:val="1"/>
      <w:adjustRightInd w:val="0"/>
    </w:pPr>
    <w:rPr>
      <w:rFonts w:eastAsia="Calibri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 w:val="1"/>
    <w:rsid w:val="00872F8C"/>
    <w:pPr>
      <w:tabs>
        <w:tab w:val="center" w:pos="4819"/>
        <w:tab w:val="right" w:pos="9639"/>
      </w:tabs>
    </w:pPr>
  </w:style>
  <w:style w:type="character" w:styleId="aa" w:customStyle="1">
    <w:name w:val="Верхний колонтитул Знак"/>
    <w:basedOn w:val="a0"/>
    <w:link w:val="a9"/>
    <w:uiPriority w:val="99"/>
    <w:rsid w:val="00872F8C"/>
    <w:rPr>
      <w:rFonts w:ascii="Times New Roman" w:cs="Times New Roman" w:eastAsia="Times New Roman" w:hAnsi="Times New Roman"/>
      <w:lang w:bidi="uk-UA" w:eastAsia="uk-UA" w:val="uk-UA"/>
    </w:rPr>
  </w:style>
  <w:style w:type="paragraph" w:styleId="ab">
    <w:name w:val="footer"/>
    <w:basedOn w:val="a"/>
    <w:link w:val="ac"/>
    <w:uiPriority w:val="99"/>
    <w:unhideWhenUsed w:val="1"/>
    <w:rsid w:val="00872F8C"/>
    <w:pPr>
      <w:tabs>
        <w:tab w:val="center" w:pos="4819"/>
        <w:tab w:val="right" w:pos="9639"/>
      </w:tabs>
    </w:pPr>
  </w:style>
  <w:style w:type="character" w:styleId="ac" w:customStyle="1">
    <w:name w:val="Нижний колонтитул Знак"/>
    <w:basedOn w:val="a0"/>
    <w:link w:val="ab"/>
    <w:uiPriority w:val="99"/>
    <w:rsid w:val="00872F8C"/>
    <w:rPr>
      <w:rFonts w:ascii="Times New Roman" w:cs="Times New Roman" w:eastAsia="Times New Roman" w:hAnsi="Times New Roman"/>
      <w:lang w:bidi="uk-UA" w:eastAsia="uk-UA" w:val="uk-UA"/>
    </w:rPr>
  </w:style>
  <w:style w:type="character" w:styleId="ad">
    <w:name w:val="Hyperlink"/>
    <w:basedOn w:val="a0"/>
    <w:uiPriority w:val="99"/>
    <w:unhideWhenUsed w:val="1"/>
    <w:rsid w:val="003A6EEF"/>
    <w:rPr>
      <w:color w:val="0000ff" w:themeColor="hyperlink"/>
      <w:u w:val="single"/>
    </w:rPr>
  </w:style>
  <w:style w:type="paragraph" w:styleId="ae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11PAnN7Zd1DUxFnsjO2fQKgwDw==">AMUW2mUDLGqYzxIqf65Gws2TuC9KPgEYY3LqPH75K74cA9YH3nUDOoGui2dwI/z50EY/Gl/nAjjzNjoaT5EulB2nR6aft6F+WWYxyEfmEB31P+JcBzEsky39UDkS9KpX7eYoTbgKvN04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2020-01-13T08:11:00Z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