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3" w:line="278.00000000000006" w:lineRule="auto"/>
        <w:ind w:right="38"/>
        <w:jc w:val="center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КОМУНАЛЬНИЙ НАВЧАЛЬНИЙ ЗАКЛАД КИЇВСЬКОЇ ОБЛАСНОЇ РАДИ                           «КИЇВСЬКИЙ ОБЛАСНИЙ ІНСТИТУТ ПІСЛЯДИПЛОМНОЇ ОСВІТИ ПЕДАГОГІЧНИХ КАДРІВ»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1.0" w:type="dxa"/>
        <w:jc w:val="left"/>
        <w:tblInd w:w="0.0" w:type="dxa"/>
        <w:tblLayout w:type="fixed"/>
        <w:tblLook w:val="0000"/>
      </w:tblPr>
      <w:tblGrid>
        <w:gridCol w:w="4077"/>
        <w:gridCol w:w="1985"/>
        <w:gridCol w:w="3969"/>
        <w:tblGridChange w:id="0">
          <w:tblGrid>
            <w:gridCol w:w="4077"/>
            <w:gridCol w:w="1985"/>
            <w:gridCol w:w="3969"/>
          </w:tblGrid>
        </w:tblGridChange>
      </w:tblGrid>
      <w:tr>
        <w:tc>
          <w:tcPr/>
          <w:p w:rsidR="00000000" w:rsidDel="00000000" w:rsidP="00000000" w:rsidRDefault="00000000" w:rsidRPr="00000000" w14:paraId="00000005">
            <w:pPr>
              <w:spacing w:before="7" w:lineRule="auto"/>
              <w:ind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СХВАЛЕНО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6">
            <w:pPr>
              <w:spacing w:before="7" w:lineRule="auto"/>
              <w:ind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Протокол засідання вченої ради КНЗ КОР «КОІПОПК» </w:t>
            </w:r>
          </w:p>
          <w:p w:rsidR="00000000" w:rsidDel="00000000" w:rsidP="00000000" w:rsidRDefault="00000000" w:rsidRPr="00000000" w14:paraId="00000007">
            <w:pPr>
              <w:spacing w:before="7" w:lineRule="auto"/>
              <w:ind w:firstLine="0"/>
              <w:rPr>
                <w:rFonts w:ascii="Times New Roman" w:cs="Times New Roman" w:eastAsia="Times New Roman" w:hAnsi="Times New Roman"/>
                <w:b w:val="1"/>
                <w:i w:val="1"/>
                <w:sz w:val="29"/>
                <w:szCs w:val="2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від 21 січня 2020 року №1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before="7" w:lineRule="auto"/>
              <w:ind w:firstLine="0"/>
              <w:rPr>
                <w:rFonts w:ascii="Times New Roman" w:cs="Times New Roman" w:eastAsia="Times New Roman" w:hAnsi="Times New Roman"/>
                <w:b w:val="1"/>
                <w:i w:val="1"/>
                <w:sz w:val="29"/>
                <w:szCs w:val="29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before="7" w:lineRule="auto"/>
              <w:ind w:firstLine="0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ЗАТВЕРДЖЕНО</w:t>
            </w:r>
          </w:p>
          <w:p w:rsidR="00000000" w:rsidDel="00000000" w:rsidP="00000000" w:rsidRDefault="00000000" w:rsidRPr="00000000" w14:paraId="0000000A">
            <w:pPr>
              <w:spacing w:before="7" w:lineRule="auto"/>
              <w:ind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Наказ КНЗ КОР «КОІПОПК» </w:t>
            </w:r>
          </w:p>
          <w:p w:rsidR="00000000" w:rsidDel="00000000" w:rsidP="00000000" w:rsidRDefault="00000000" w:rsidRPr="00000000" w14:paraId="0000000B">
            <w:pPr>
              <w:spacing w:before="7" w:lineRule="auto"/>
              <w:ind w:firstLine="0"/>
              <w:rPr>
                <w:rFonts w:ascii="Times New Roman" w:cs="Times New Roman" w:eastAsia="Times New Roman" w:hAnsi="Times New Roman"/>
                <w:b w:val="1"/>
                <w:i w:val="1"/>
                <w:sz w:val="29"/>
                <w:szCs w:val="2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від 22 січня 2020 року №13/1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Rule="auto"/>
        <w:rPr>
          <w:rFonts w:ascii="Times New Roman" w:cs="Times New Roman" w:eastAsia="Times New Roman" w:hAnsi="Times New Roman"/>
          <w:color w:val="000000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6286"/>
        </w:tabs>
        <w:ind w:left="622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Rule="auto"/>
        <w:rPr>
          <w:rFonts w:ascii="Times New Roman" w:cs="Times New Roman" w:eastAsia="Times New Roman" w:hAnsi="Times New Roman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276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ОСВІТНЯ ПРОГРАМА</w:t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276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ПІДВИЩЕННЯ КВАЛІФІКАЦІЇ КЕРІВНИКІВ ГУРТКІВ ЗАКЛАДІВ ПОЗАШКІЛЬНОЇ ТА ЗАГАЛЬНОЇ СЕРЕДНЬОЇ ОСВІТИ</w:t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276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«LEGO-КОНСТРУЮВАННЯ ТА LEGO-РОБОТОТЕХНІКА</w:t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ЯК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НОВАЦІЇ ОСВІТИ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(розробник: Гаврилюк В.Ю.)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65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Біла Церква – 2020</w:t>
      </w:r>
    </w:p>
    <w:p w:rsidR="00000000" w:rsidDel="00000000" w:rsidP="00000000" w:rsidRDefault="00000000" w:rsidRPr="00000000" w14:paraId="0000002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75.0" w:type="dxa"/>
        <w:jc w:val="left"/>
        <w:tblInd w:w="-830.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45"/>
        <w:gridCol w:w="615"/>
        <w:gridCol w:w="6855"/>
        <w:gridCol w:w="660"/>
        <w:tblGridChange w:id="0">
          <w:tblGrid>
            <w:gridCol w:w="2445"/>
            <w:gridCol w:w="615"/>
            <w:gridCol w:w="6855"/>
            <w:gridCol w:w="660"/>
          </w:tblGrid>
        </w:tblGridChange>
      </w:tblGrid>
      <w:tr>
        <w:trPr>
          <w:trHeight w:val="554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Автор програми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right="51" w:firstLine="34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Гаврилюк В.Ю., методист відділу виховної роботи та позашкільної освіти, викладач кафедри педагогіки, психології та менеджменту освіти Комунального навчального закладу Київської обласної ради «Київський обласний інститут післядипломної освіти педагогічних кадрів»</w:t>
            </w:r>
          </w:p>
        </w:tc>
      </w:tr>
      <w:tr>
        <w:trPr>
          <w:trHeight w:val="551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Найменування програми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7" w:right="138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Освітня програма підвищення кваліфікації керівників гуртків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закладів позашкільної та загальної середньої освіти «LEGO-конструювання та LEGO-робототехніка як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новації освіти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»</w:t>
            </w:r>
          </w:p>
        </w:tc>
      </w:tr>
      <w:tr>
        <w:trPr>
          <w:trHeight w:val="767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Мета програми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7" w:right="51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Підвищити професійну компетентність педагогічних працівників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щодо використання LEGO-конструювання / LEGO-робототехніки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як засобу особистісно-творчого розвитку дітей та учнівської молоді</w:t>
            </w:r>
          </w:p>
        </w:tc>
      </w:tr>
      <w:tr>
        <w:trPr>
          <w:trHeight w:val="48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Напрям програми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7" w:right="138" w:hanging="108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LEGO-конструювання та LEGO-робототехніка</w:t>
            </w:r>
          </w:p>
        </w:tc>
      </w:tr>
      <w:tr>
        <w:trPr>
          <w:trHeight w:val="552" w:hRule="atLeast"/>
        </w:trPr>
        <w:tc>
          <w:tcPr>
            <w:vMerge w:val="restart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Зміст програми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8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8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з/п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8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Тема заняття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8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Год.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3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8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5246"/>
              </w:tabs>
              <w:ind w:left="142" w:right="137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Вступ до теми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8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trHeight w:val="48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8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5246"/>
              </w:tabs>
              <w:ind w:left="142" w:right="137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Філософські аспекти модернізації освіти в контексті традицій та інновацій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8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trHeight w:val="48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8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5246"/>
              </w:tabs>
              <w:ind w:left="142" w:right="137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Упровадження STEM-технологій в освітній процес закладу освіти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8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trHeight w:val="557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8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04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5246"/>
              </w:tabs>
              <w:ind w:left="142" w:right="137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Основи конструювання роботизованих систем на базі модульних конструкторів LEGO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Mindstorms EV3. Лабораторне заняття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8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trHeight w:val="413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5246"/>
              </w:tabs>
              <w:ind w:left="142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Конструювання основних механізмів роботів з використанням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5"/>
                <w:szCs w:val="25"/>
                <w:rtl w:val="0"/>
              </w:rPr>
              <w:t xml:space="preserve">базового та ресурсного наборів LEGO Mindstorms EV3.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Лабораторне заняття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8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trHeight w:val="141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8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5246"/>
              </w:tabs>
              <w:ind w:left="142" w:right="137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Основи програмування в середовищі LEGO Mindstorms EV3 Education Software. Лабораторне заняття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8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trHeight w:val="48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8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5246"/>
              </w:tabs>
              <w:ind w:left="142" w:right="137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Конструювання авторських моделей роботів і підготовка до змагань з робототехніки. Лабораторне заняття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trHeight w:val="48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8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5246"/>
              </w:tabs>
              <w:spacing w:before="2" w:lineRule="auto"/>
              <w:ind w:left="142" w:right="137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Програмно-методичне та дидактичне забезпечення освітньої діяльності гуртка 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5"/>
                <w:szCs w:val="25"/>
                <w:rtl w:val="0"/>
              </w:rPr>
              <w:t xml:space="preserve">LEGO-конструювання /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5"/>
                <w:szCs w:val="25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5"/>
                <w:szCs w:val="25"/>
                <w:rtl w:val="0"/>
              </w:rPr>
              <w:t xml:space="preserve">LEGO- робототехніка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»</w:t>
            </w:r>
          </w:p>
        </w:tc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trHeight w:val="148" w:hRule="atLeast"/>
        </w:trPr>
        <w:tc>
          <w:tcPr>
            <w:vMerge w:val="continue"/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8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10.</w:t>
            </w:r>
          </w:p>
        </w:tc>
        <w:tc>
          <w:tcPr>
            <w:tcBorders>
              <w:top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5246"/>
              </w:tabs>
              <w:ind w:left="142" w:right="137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Тематична дискусія «LEGO-конструювання та LEGO-робототехніка як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освітні новації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</w:tcBorders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trHeight w:val="277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Обсяг програми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3" w:hanging="108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 кредит ЄКТС (26 аудиторних годин, 4 години – самостійна робота)</w:t>
            </w:r>
          </w:p>
        </w:tc>
      </w:tr>
      <w:tr>
        <w:trPr>
          <w:trHeight w:val="551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Форма підвищення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108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кваліфікації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43" w:hanging="108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Інституційна (денна)</w:t>
            </w:r>
          </w:p>
        </w:tc>
      </w:tr>
      <w:tr>
        <w:trPr>
          <w:trHeight w:val="551" w:hRule="atLeast"/>
        </w:trPr>
        <w:tc>
          <w:tcPr>
            <w:tcBorders>
              <w:left w:color="000000" w:space="0" w:sz="6" w:val="single"/>
            </w:tcBorders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Результати навчання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5" w:hanging="108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427"/>
              </w:tabs>
              <w:ind w:left="143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Загальні компетентності: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420"/>
              </w:tabs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Здатність до абстрактного мислення, аналізу та синтезу.</w:t>
            </w:r>
          </w:p>
          <w:p w:rsidR="00000000" w:rsidDel="00000000" w:rsidP="00000000" w:rsidRDefault="00000000" w:rsidRPr="00000000" w14:paraId="00000073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420"/>
              </w:tabs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Здатність вчитися і оволодівати сучасними знаннями.</w:t>
            </w:r>
          </w:p>
          <w:p w:rsidR="00000000" w:rsidDel="00000000" w:rsidP="00000000" w:rsidRDefault="00000000" w:rsidRPr="00000000" w14:paraId="0000007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420"/>
              </w:tabs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Здатність генерувати / продукувати нові освітні технології.</w:t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420"/>
              </w:tabs>
              <w:ind w:left="720" w:hanging="360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Здатність навчатися упродовж життя.</w:t>
            </w:r>
          </w:p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427"/>
              </w:tabs>
              <w:jc w:val="both"/>
              <w:rPr>
                <w:rFonts w:ascii="Times New Roman" w:cs="Times New Roman" w:eastAsia="Times New Roman" w:hAnsi="Times New Roman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427"/>
              </w:tabs>
              <w:ind w:left="143" w:right="138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Спеціальні (фахові, предметні) компетентності: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427"/>
              </w:tabs>
              <w:ind w:left="720" w:right="138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Активізація професійно-особистісних якостей педагогічних працівників.</w:t>
            </w:r>
          </w:p>
          <w:p w:rsidR="00000000" w:rsidDel="00000000" w:rsidP="00000000" w:rsidRDefault="00000000" w:rsidRPr="00000000" w14:paraId="0000007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427"/>
              </w:tabs>
              <w:ind w:left="720" w:right="138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Здатність до акмеологічного проектування та реалізації програм індивідуального професійного розвитку.</w:t>
            </w:r>
          </w:p>
          <w:p w:rsidR="00000000" w:rsidDel="00000000" w:rsidP="00000000" w:rsidRDefault="00000000" w:rsidRPr="00000000" w14:paraId="0000007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427"/>
              </w:tabs>
              <w:ind w:left="720" w:right="138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Готовність до використання / поширення освітніх інновацій та кращих виховних практик.</w:t>
            </w:r>
          </w:p>
          <w:p w:rsidR="00000000" w:rsidDel="00000000" w:rsidP="00000000" w:rsidRDefault="00000000" w:rsidRPr="00000000" w14:paraId="0000007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pos="427"/>
              </w:tabs>
              <w:ind w:left="720" w:right="138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Здатність до моделювання та реалізації авторських методичних систем виховання.</w:t>
            </w:r>
          </w:p>
        </w:tc>
      </w:tr>
    </w:tbl>
    <w:p w:rsidR="00000000" w:rsidDel="00000000" w:rsidP="00000000" w:rsidRDefault="00000000" w:rsidRPr="00000000" w14:paraId="0000007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264"/>
          <w:tab w:val="left" w:pos="2160"/>
        </w:tabs>
        <w:ind w:right="464"/>
        <w:jc w:val="both"/>
        <w:rPr>
          <w:rFonts w:ascii="Times New Roman" w:cs="Times New Roman" w:eastAsia="Times New Roman" w:hAnsi="Times New Roman"/>
          <w:sz w:val="25"/>
          <w:szCs w:val="25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sectPr>
      <w:pgSz w:h="16840" w:w="11910"/>
      <w:pgMar w:bottom="1134" w:top="1134" w:left="170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</w:style>
  <w:style w:type="paragraph" w:styleId="1">
    <w:name w:val="heading 1"/>
    <w:basedOn w:val="a0"/>
    <w:pPr>
      <w:widowControl w:val="1"/>
      <w:autoSpaceDE w:val="1"/>
      <w:autoSpaceDN w:val="1"/>
      <w:spacing w:after="100" w:afterAutospacing="1" w:before="100" w:beforeAutospacing="1"/>
    </w:pPr>
    <w:rPr>
      <w:b w:val="1"/>
      <w:bCs w:val="1"/>
      <w:kern w:val="36"/>
      <w:sz w:val="48"/>
      <w:szCs w:val="48"/>
      <w:lang w:bidi="ar-SA"/>
    </w:rPr>
  </w:style>
  <w:style w:type="paragraph" w:styleId="2">
    <w:name w:val="heading 2"/>
    <w:basedOn w:val="a"/>
    <w:next w:val="a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pPr>
      <w:keepNext w:val="1"/>
      <w:keepLines w:val="1"/>
      <w:spacing w:after="40" w:before="200"/>
      <w:outlineLvl w:val="5"/>
    </w:pPr>
    <w:rPr>
      <w:b w:val="1"/>
    </w:rPr>
  </w:style>
  <w:style w:type="character" w:styleId="a1" w:default="1">
    <w:name w:val="Default Paragraph Font"/>
    <w:uiPriority w:val="1"/>
    <w:semiHidden w:val="1"/>
    <w:unhideWhenUsed w:val="1"/>
  </w:style>
  <w:style w:type="table" w:styleId="a2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3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Title"/>
    <w:basedOn w:val="a"/>
    <w:next w:val="a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0" w:customStyle="1">
    <w:name w:val="Звичайний"/>
    <w:pPr>
      <w:widowControl w:val="0"/>
      <w:suppressAutoHyphens w:val="1"/>
      <w:autoSpaceDE w:val="0"/>
      <w:autoSpaceDN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2"/>
      <w:szCs w:val="22"/>
      <w:lang w:bidi="uk-UA"/>
    </w:rPr>
  </w:style>
  <w:style w:type="character" w:styleId="a5" w:customStyle="1">
    <w:name w:val="Шрифт абзацу за замовчуванням"/>
    <w:qFormat w:val="1"/>
    <w:rPr>
      <w:w w:val="100"/>
      <w:position w:val="-1"/>
      <w:effect w:val="none"/>
      <w:vertAlign w:val="baseline"/>
      <w:cs w:val="0"/>
      <w:em w:val="none"/>
    </w:rPr>
  </w:style>
  <w:style w:type="table" w:styleId="a6" w:customStyle="1">
    <w:name w:val="Звичайна таблиця"/>
    <w:qFormat w:val="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7" w:customStyle="1">
    <w:name w:val="Немає списку"/>
    <w:qFormat w:val="1"/>
  </w:style>
  <w:style w:type="table" w:styleId="TableNormal0" w:customStyle="1">
    <w:name w:val="Table Normal"/>
    <w:next w:val="TableNormal"/>
    <w:qFormat w:val="1"/>
    <w:pPr>
      <w:widowControl w:val="0"/>
      <w:suppressAutoHyphens w:val="1"/>
      <w:autoSpaceDE w:val="0"/>
      <w:autoSpaceDN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 w:val="22"/>
      <w:szCs w:val="22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8" w:customStyle="1">
    <w:name w:val="Основний текст"/>
    <w:basedOn w:val="a0"/>
    <w:rPr>
      <w:sz w:val="28"/>
      <w:szCs w:val="28"/>
    </w:rPr>
  </w:style>
  <w:style w:type="paragraph" w:styleId="a9" w:customStyle="1">
    <w:name w:val="Абзац списку"/>
    <w:basedOn w:val="a0"/>
  </w:style>
  <w:style w:type="paragraph" w:styleId="TableParagraph" w:customStyle="1">
    <w:name w:val="Table Paragraph"/>
    <w:basedOn w:val="a0"/>
    <w:pPr>
      <w:spacing w:line="262" w:lineRule="atLeast"/>
      <w:ind w:left="108"/>
    </w:pPr>
  </w:style>
  <w:style w:type="table" w:styleId="aa" w:customStyle="1">
    <w:name w:val="Сітка таблиці"/>
    <w:basedOn w:val="a6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b" w:customStyle="1">
    <w:name w:val="Текст у виносці"/>
    <w:basedOn w:val="a0"/>
    <w:qFormat w:val="1"/>
    <w:rPr>
      <w:rFonts w:ascii="Segoe UI" w:cs="Segoe UI" w:hAnsi="Segoe UI"/>
      <w:sz w:val="18"/>
      <w:szCs w:val="18"/>
    </w:rPr>
  </w:style>
  <w:style w:type="character" w:styleId="ac" w:customStyle="1">
    <w:name w:val="Текст у виносці Знак"/>
    <w:rPr>
      <w:rFonts w:ascii="Segoe UI" w:cs="Segoe UI" w:eastAsia="Times New Roman" w:hAnsi="Segoe UI"/>
      <w:w w:val="100"/>
      <w:position w:val="-1"/>
      <w:sz w:val="18"/>
      <w:szCs w:val="18"/>
      <w:effect w:val="none"/>
      <w:vertAlign w:val="baseline"/>
      <w:cs w:val="0"/>
      <w:em w:val="none"/>
      <w:lang w:bidi="uk-UA" w:eastAsia="uk-UA" w:val="uk-UA"/>
    </w:rPr>
  </w:style>
  <w:style w:type="character" w:styleId="ad" w:customStyle="1">
    <w:name w:val="Гіперпосилання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  <w:lang w:eastAsia="en-US" w:val="ru-RU"/>
    </w:rPr>
  </w:style>
  <w:style w:type="character" w:styleId="10" w:customStyle="1">
    <w:name w:val="Заголовок 1 Знак"/>
    <w:rPr>
      <w:rFonts w:ascii="Times New Roman" w:cs="Times New Roman" w:eastAsia="Times New Roman" w:hAnsi="Times New Roman"/>
      <w:b w:val="1"/>
      <w:bCs w:val="1"/>
      <w:w w:val="100"/>
      <w:kern w:val="36"/>
      <w:position w:val="-1"/>
      <w:sz w:val="48"/>
      <w:szCs w:val="48"/>
      <w:effect w:val="none"/>
      <w:vertAlign w:val="baseline"/>
      <w:cs w:val="0"/>
      <w:em w:val="none"/>
      <w:lang w:eastAsia="uk-UA" w:val="uk-UA"/>
    </w:rPr>
  </w:style>
  <w:style w:type="character" w:styleId="ae" w:customStyle="1">
    <w:name w:val="Переглянуте гіперпосилання"/>
    <w:qFormat w:val="1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af" w:customStyle="1">
    <w:name w:val="Незакрита згадка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</w:rPr>
  </w:style>
  <w:style w:type="paragraph" w:styleId="af0">
    <w:name w:val="Subtitle"/>
    <w:basedOn w:val="a"/>
    <w:next w:val="a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f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2" w:customStyle="1">
    <w:basedOn w:val="TableNormal0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ind w:left="0" w:hanging="1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0"/>
      <w:ind w:left="0" w:hanging="1"/>
    </w:pPr>
    <w:rPr>
      <w:sz w:val="22"/>
      <w:szCs w:val="22"/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URZEUobA2Dk45CeMID2OEHR4yw==">AMUW2mUWeQJP0SNGOXkYv47rHz/TtHgLoWPQAVtY0Ijn8K1+LCeUUi+jG39p6KHHbiOadPX4P8q/CRzAfL3TNDII8FNW/ZC0NSmqn5ABd0ffvPAq7zbBya3vyOkcLtooAY3rQ6+1sfF4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2020-03-09T17:24:00Z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2020-01-09T00:00:00Z</vt:filetime>
  </property>
</Properties>
</file>