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СХВАЛЕНО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 21 січня 2020 року №1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7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 22 січня 2020 року №13/1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i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КВАЛІФІКАЦІЇ ВЧИТЕЛІВ ПОЧАТКОВИХ КЛАСІВ, ВИХОВАТЕЛІВ ГПД ЗАКЛАДІВ ЗАГАЛЬНОЇ СЕРЕДНЬОЇ ОСВІТИ </w:t>
      </w:r>
    </w:p>
    <w:p w:rsidR="00000000" w:rsidDel="00000000" w:rsidP="00000000" w:rsidRDefault="00000000" w:rsidRPr="00000000" w14:paraId="00000015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«ДІЯЛЬНІСНИЙ ПІДХІД У ПОЧАТКОВІЙ ШКОЛІ»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Біла Церква – 2020</w:t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68.0" w:type="dxa"/>
        <w:jc w:val="left"/>
        <w:tblInd w:w="203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3"/>
        <w:gridCol w:w="567"/>
        <w:gridCol w:w="5670"/>
        <w:gridCol w:w="708"/>
        <w:tblGridChange w:id="0">
          <w:tblGrid>
            <w:gridCol w:w="2923"/>
            <w:gridCol w:w="567"/>
            <w:gridCol w:w="5670"/>
            <w:gridCol w:w="708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Розробники програми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Вихрестенко Ж.В.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, методист відділу координації методичної роботи та неперервної педагогічної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Найменування програми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Освітня п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рограма підвищення кваліфікації вчителів початкових класів,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вихователів ГПД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закладів загальної середньої освіти «Діяльнісний підхід у початковій школі»</w:t>
            </w:r>
          </w:p>
        </w:tc>
      </w:tr>
      <w:tr>
        <w:trPr>
          <w:trHeight w:val="1046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Мета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Підвищити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методичний та практичний рівні професійної компетентності вчителів початкових класів щодо використання ігрових та діяльнісних методів навчання в умовах освітніх змін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6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Напрям програми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right="96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Розвиток професійних компетентностей учителів початкових класів, вихователів ГПД, визначених </w:t>
            </w:r>
            <w:hyperlink r:id="rId7">
              <w:r w:rsidDel="00000000" w:rsidR="00000000" w:rsidRPr="00000000">
                <w:rPr>
                  <w:sz w:val="28"/>
                  <w:szCs w:val="28"/>
                  <w:rtl w:val="0"/>
                </w:rPr>
                <w:t xml:space="preserve">частиною першою</w:t>
              </w:r>
            </w:hyperlink>
            <w:r w:rsidDel="00000000" w:rsidR="00000000" w:rsidRPr="00000000">
              <w:rPr>
                <w:sz w:val="28"/>
                <w:szCs w:val="28"/>
                <w:rtl w:val="0"/>
              </w:rPr>
              <w:t xml:space="preserve"> статті 12 Закону України “Про освіту”</w:t>
            </w:r>
          </w:p>
        </w:tc>
      </w:tr>
      <w:tr>
        <w:trPr>
          <w:trHeight w:val="552" w:hRule="atLeast"/>
        </w:trPr>
        <w:tc>
          <w:tcPr>
            <w:vMerge w:val="restart"/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Зміст програми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з/п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Тема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Год.</w:t>
            </w:r>
          </w:p>
        </w:tc>
      </w:tr>
      <w:tr>
        <w:trPr>
          <w:trHeight w:val="238" w:hRule="atLeast"/>
        </w:trPr>
        <w:tc>
          <w:tcPr>
            <w:vMerge w:val="continue"/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357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ind w:left="141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Вступ до теми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357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Філософські аспекти модернізації освіти в контексті традицій та інновацій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357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left="141" w:right="142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Тенденції розвитку світової системи освіти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357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Професійний розвиток педагогічних працівників в умовах Нової української школи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357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7"/>
                <w:szCs w:val="27"/>
                <w:highlight w:val="white"/>
                <w:rtl w:val="0"/>
              </w:rPr>
              <w:t xml:space="preserve">Діяльнісний підхід: актуальність та перспективи впровадження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trHeight w:val="849" w:hRule="atLeast"/>
        </w:trPr>
        <w:tc>
          <w:tcPr>
            <w:vMerge w:val="continue"/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357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" w:cs="Times" w:eastAsia="Times" w:hAnsi="Times"/>
                <w:color w:val="000000"/>
                <w:sz w:val="28"/>
                <w:szCs w:val="28"/>
                <w:highlight w:val="white"/>
                <w:rtl w:val="0"/>
              </w:rPr>
              <w:t xml:space="preserve">Використання технології діяльнісного методу навчання в освітньому процесі школи І ступеня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357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left="141" w:right="142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Інтегрований розвиток наскрізних умінь засобами технології 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діяльнісного методу навчання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trHeight w:val="668" w:hRule="atLeast"/>
        </w:trPr>
        <w:tc>
          <w:tcPr>
            <w:vMerge w:val="continue"/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357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/>
              <w:jc w:val="both"/>
              <w:rPr>
                <w:color w:val="ff0000"/>
                <w:sz w:val="28"/>
                <w:szCs w:val="28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Реалізація діяльнісного підходу до навчання в контексті впровадження сучасних технологій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1" w:hRule="atLeast"/>
        </w:trPr>
        <w:tc>
          <w:tcPr>
            <w:vMerge w:val="continue"/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357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Ігрові та діяльнісні методи навчання в початковій школі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357"/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42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Тематична дискусія щодо реалізації діяльнісного </w:t>
            </w:r>
            <w:r w:rsidDel="00000000" w:rsidR="00000000" w:rsidRPr="00000000">
              <w:rPr>
                <w:color w:val="000000"/>
                <w:sz w:val="28"/>
                <w:szCs w:val="28"/>
                <w:highlight w:val="white"/>
                <w:rtl w:val="0"/>
              </w:rPr>
              <w:t xml:space="preserve">методу навчання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 початковій школі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trHeight w:val="277" w:hRule="atLeast"/>
        </w:trPr>
        <w:tc>
          <w:tcPr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Обсяг програми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кредит ЄКТС (26 аудиторних годин, 4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кваліфікації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41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Результати навчання</w:t>
            </w:r>
          </w:p>
          <w:p w:rsidR="00000000" w:rsidDel="00000000" w:rsidP="00000000" w:rsidRDefault="00000000" w:rsidRPr="00000000" w14:paraId="00000074">
            <w:pPr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white"/>
                <w:rtl w:val="0"/>
              </w:rPr>
              <w:t xml:space="preserve">Здатність до створення безпечних та психологічно комфортних умов освітнього процесу.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white"/>
                <w:rtl w:val="0"/>
              </w:rPr>
              <w:t xml:space="preserve">Здатність до змістового наповнення освітнього середовища, відповідно до вимог Державного стандарту початкової освіти.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white"/>
                <w:rtl w:val="0"/>
              </w:rPr>
              <w:t xml:space="preserve">Здатність до координації взаємодії із зацікавленими особами для гармонійного розвитку учнів в межах ГПД.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Здатність до збереження і дотримання правил ціннісних орієнтацій і традицій закладу освіти.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Здатність до врахування при створення освітнього середовища індивідуальних потреб учнів, в тому числі обдарованих дітей, дітей, які мають особливі освітні потреби.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white"/>
                <w:rtl w:val="0"/>
              </w:rPr>
              <w:t xml:space="preserve">Здатність до відстеження динаміки та забезпечення підтримки особистісного розвитку дитини в освітньому процесі.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Здатність добирати доцільні методи, засоби й форми навчання відповідно до визначених мети і завдань уроку, іншої форми навчання з урахуванням специфіки змісту навчального матеріалу та індивідуальних особливостей учнів.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Здатність до організації співпраці з батьками в різних формах взаємодії.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Здатність до усвідомлення своєї ролі як педагога, системи цінностей, мети та завдань професійної діяльності вчителя.</w:t>
            </w:r>
          </w:p>
        </w:tc>
      </w:tr>
    </w:tbl>
    <w:p w:rsidR="00000000" w:rsidDel="00000000" w:rsidP="00000000" w:rsidRDefault="00000000" w:rsidRPr="00000000" w14:paraId="00000081">
      <w:pPr>
        <w:tabs>
          <w:tab w:val="left" w:pos="21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8"/>
          <w:szCs w:val="28"/>
          <w:highlight w:val="red"/>
        </w:rPr>
      </w:pPr>
      <w:r w:rsidDel="00000000" w:rsidR="00000000" w:rsidRPr="00000000">
        <w:rPr>
          <w:sz w:val="28"/>
          <w:szCs w:val="28"/>
          <w:highlight w:val="red"/>
          <w:rtl w:val="0"/>
        </w:rPr>
        <w:t xml:space="preserve"> </w:t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15" w:hanging="360"/>
      </w:pPr>
      <w:rPr/>
    </w:lvl>
    <w:lvl w:ilvl="2">
      <w:start w:val="1"/>
      <w:numFmt w:val="lowerRoman"/>
      <w:lvlText w:val="%3."/>
      <w:lvlJc w:val="right"/>
      <w:pPr>
        <w:ind w:left="1735" w:hanging="180"/>
      </w:pPr>
      <w:rPr/>
    </w:lvl>
    <w:lvl w:ilvl="3">
      <w:start w:val="1"/>
      <w:numFmt w:val="decimal"/>
      <w:lvlText w:val="%4."/>
      <w:lvlJc w:val="left"/>
      <w:pPr>
        <w:ind w:left="2455" w:hanging="360"/>
      </w:pPr>
      <w:rPr/>
    </w:lvl>
    <w:lvl w:ilvl="4">
      <w:start w:val="1"/>
      <w:numFmt w:val="lowerLetter"/>
      <w:lvlText w:val="%5."/>
      <w:lvlJc w:val="left"/>
      <w:pPr>
        <w:ind w:left="3175" w:hanging="360"/>
      </w:pPr>
      <w:rPr/>
    </w:lvl>
    <w:lvl w:ilvl="5">
      <w:start w:val="1"/>
      <w:numFmt w:val="lowerRoman"/>
      <w:lvlText w:val="%6."/>
      <w:lvlJc w:val="right"/>
      <w:pPr>
        <w:ind w:left="3895" w:hanging="180"/>
      </w:pPr>
      <w:rPr/>
    </w:lvl>
    <w:lvl w:ilvl="6">
      <w:start w:val="1"/>
      <w:numFmt w:val="decimal"/>
      <w:lvlText w:val="%7."/>
      <w:lvlJc w:val="left"/>
      <w:pPr>
        <w:ind w:left="4615" w:hanging="360"/>
      </w:pPr>
      <w:rPr/>
    </w:lvl>
    <w:lvl w:ilvl="7">
      <w:start w:val="1"/>
      <w:numFmt w:val="lowerLetter"/>
      <w:lvlText w:val="%8."/>
      <w:lvlJc w:val="left"/>
      <w:pPr>
        <w:ind w:left="5335" w:hanging="360"/>
      </w:pPr>
      <w:rPr/>
    </w:lvl>
    <w:lvl w:ilvl="8">
      <w:start w:val="1"/>
      <w:numFmt w:val="lowerRoman"/>
      <w:lvlText w:val="%9."/>
      <w:lvlJc w:val="right"/>
      <w:pPr>
        <w:ind w:left="6055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lang w:bidi="uk-UA"/>
    </w:rPr>
  </w:style>
  <w:style w:type="paragraph" w:styleId="1">
    <w:name w:val="heading 1"/>
    <w:basedOn w:val="a"/>
    <w:next w:val="a"/>
    <w:link w:val="10"/>
    <w:uiPriority w:val="9"/>
    <w:qFormat w:val="1"/>
    <w:rsid w:val="008777F3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link w:val="30"/>
    <w:uiPriority w:val="9"/>
    <w:qFormat w:val="1"/>
    <w:rsid w:val="00A05534"/>
    <w:pPr>
      <w:widowControl w:val="1"/>
      <w:spacing w:after="100" w:afterAutospacing="1" w:before="100" w:beforeAutospacing="1"/>
      <w:outlineLvl w:val="2"/>
    </w:pPr>
    <w:rPr>
      <w:b w:val="1"/>
      <w:bCs w:val="1"/>
      <w:sz w:val="27"/>
      <w:szCs w:val="27"/>
      <w:lang w:bidi="ar-SA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rPr>
      <w:sz w:val="28"/>
      <w:szCs w:val="28"/>
    </w:rPr>
  </w:style>
  <w:style w:type="paragraph" w:styleId="a5">
    <w:name w:val="List Paragraph"/>
    <w:aliases w:val="для моей работы"/>
    <w:basedOn w:val="a"/>
    <w:link w:val="a6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spacing w:line="262" w:lineRule="exact"/>
      <w:ind w:left="108"/>
    </w:pPr>
  </w:style>
  <w:style w:type="table" w:styleId="a7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link w:val="a9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a">
    <w:name w:val="Hyperlink"/>
    <w:basedOn w:val="a0"/>
    <w:uiPriority w:val="99"/>
    <w:unhideWhenUsed w:val="1"/>
    <w:rsid w:val="00621970"/>
    <w:rPr>
      <w:color w:val="0000ff" w:themeColor="hyperlink"/>
      <w:u w:val="single"/>
    </w:rPr>
  </w:style>
  <w:style w:type="character" w:styleId="a6" w:customStyle="1">
    <w:name w:val="Абзац списка Знак"/>
    <w:aliases w:val="для моей работы Знак"/>
    <w:link w:val="a5"/>
    <w:uiPriority w:val="34"/>
    <w:locked w:val="1"/>
    <w:rsid w:val="00621970"/>
    <w:rPr>
      <w:rFonts w:ascii="Times New Roman" w:cs="Times New Roman" w:eastAsia="Times New Roman" w:hAnsi="Times New Roman"/>
      <w:lang w:bidi="uk-UA" w:eastAsia="uk-UA" w:val="uk-UA"/>
    </w:rPr>
  </w:style>
  <w:style w:type="paragraph" w:styleId="Default" w:customStyle="1">
    <w:name w:val="Default"/>
    <w:rsid w:val="00621970"/>
    <w:pPr>
      <w:widowControl w:val="1"/>
      <w:adjustRightInd w:val="0"/>
    </w:pPr>
    <w:rPr>
      <w:color w:val="000000"/>
      <w:sz w:val="24"/>
      <w:szCs w:val="24"/>
      <w:lang w:val="ru-RU"/>
    </w:rPr>
  </w:style>
  <w:style w:type="character" w:styleId="30" w:customStyle="1">
    <w:name w:val="Заголовок 3 Знак"/>
    <w:basedOn w:val="a0"/>
    <w:link w:val="3"/>
    <w:uiPriority w:val="9"/>
    <w:rsid w:val="00A05534"/>
    <w:rPr>
      <w:rFonts w:ascii="Times New Roman" w:cs="Times New Roman" w:eastAsia="Times New Roman" w:hAnsi="Times New Roman"/>
      <w:b w:val="1"/>
      <w:bCs w:val="1"/>
      <w:sz w:val="27"/>
      <w:szCs w:val="27"/>
      <w:lang w:eastAsia="uk-UA" w:val="uk-UA"/>
    </w:rPr>
  </w:style>
  <w:style w:type="character" w:styleId="10" w:customStyle="1">
    <w:name w:val="Заголовок 1 Знак"/>
    <w:basedOn w:val="a0"/>
    <w:link w:val="1"/>
    <w:uiPriority w:val="9"/>
    <w:rsid w:val="008777F3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bidi="uk-UA" w:eastAsia="uk-UA" w:val="uk-UA"/>
    </w:rPr>
  </w:style>
  <w:style w:type="character" w:styleId="ytp-time-current" w:customStyle="1">
    <w:name w:val="ytp-time-current"/>
    <w:basedOn w:val="a0"/>
    <w:rsid w:val="008777F3"/>
  </w:style>
  <w:style w:type="character" w:styleId="ytp-time-separator" w:customStyle="1">
    <w:name w:val="ytp-time-separator"/>
    <w:basedOn w:val="a0"/>
    <w:rsid w:val="008777F3"/>
  </w:style>
  <w:style w:type="character" w:styleId="ytp-time-duration" w:customStyle="1">
    <w:name w:val="ytp-time-duration"/>
    <w:basedOn w:val="a0"/>
    <w:rsid w:val="008777F3"/>
  </w:style>
  <w:style w:type="character" w:styleId="j-title-breadcrumb" w:customStyle="1">
    <w:name w:val="j-title-breadcrumb"/>
    <w:basedOn w:val="a0"/>
    <w:rsid w:val="008777F3"/>
  </w:style>
  <w:style w:type="paragraph" w:styleId="ab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</w:tblPr>
  </w:style>
  <w:style w:type="paragraph" w:styleId="ae">
    <w:name w:val="annotation text"/>
    <w:basedOn w:val="a"/>
    <w:link w:val="af"/>
    <w:uiPriority w:val="99"/>
    <w:semiHidden w:val="1"/>
    <w:unhideWhenUsed w:val="1"/>
    <w:rPr>
      <w:sz w:val="20"/>
      <w:szCs w:val="20"/>
    </w:rPr>
  </w:style>
  <w:style w:type="character" w:styleId="af" w:customStyle="1">
    <w:name w:val="Текст примечания Знак"/>
    <w:basedOn w:val="a0"/>
    <w:link w:val="ae"/>
    <w:uiPriority w:val="99"/>
    <w:semiHidden w:val="1"/>
    <w:rPr>
      <w:sz w:val="20"/>
      <w:szCs w:val="20"/>
      <w:lang w:bidi="uk-UA"/>
    </w:rPr>
  </w:style>
  <w:style w:type="character" w:styleId="af0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akon.rada.gov.ua/laws/show/2145-19#n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5bZiKv95KCv+vbt8TNkkwFM19g==">AMUW2mUJqSPSqZJr7oENX3/Fkm9GAJCnmvbDFltZb+Z9+hykkNnyUUY2zlprc8qypyV2sKeFwUEMJvO1WB006qeMgWMKc5KFNl6jeWdakqBJqlgY2YApSP9pv1hk/R7WqubaSBR5Bfz2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2020-01-15T15:50:00Z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