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ПРОГРАМА</w:t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ПІДВИЩЕННЯ КВАЛІФІКАЦІЇ ВЧИТЕЛІВ ПОЧАТКОВИХ КЛАСІВ, ВИХОВАТЕЛІВ ГРУП ПРОДОВЖЕНОГО ДНЯ ЗАКЛАДІВ ЗАГАЛЬНОЇ СЕРЕДНЬОЇ ОСВІТИ   «ТЕХНОЛОГІЇ КРЕАТИВНОСТІ – СТИМУЛ ДЛЯ ТВОРЧОСТІ МОЛОДШИХ ШКОЛЯРІВ» </w:t>
      </w:r>
    </w:p>
    <w:p w:rsidR="00000000" w:rsidDel="00000000" w:rsidP="00000000" w:rsidRDefault="00000000" w:rsidRPr="00000000" w14:paraId="00000015">
      <w:pPr>
        <w:widowControl w:val="1"/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" w:lineRule="auto"/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6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69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6"/>
        <w:gridCol w:w="283"/>
        <w:gridCol w:w="284"/>
        <w:gridCol w:w="6379"/>
        <w:gridCol w:w="567"/>
        <w:tblGridChange w:id="0">
          <w:tblGrid>
            <w:gridCol w:w="2356"/>
            <w:gridCol w:w="283"/>
            <w:gridCol w:w="284"/>
            <w:gridCol w:w="6379"/>
            <w:gridCol w:w="567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Розробники програми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4" w:firstLine="30.000000000000018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Вихрестенко Ж.В.,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викладач кафедри педагогіки, психології та менеджменту Комунального навчального закладу Київської обласної ради «Київський обласний інститут післядипломної освіти педагогічних кадрів» 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Найменування програми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1" w:firstLine="30.000000000000018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Програма підвищення кваліфікації вчителів початкових класів, вихователів груп продовженого дня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закладів загальної середньої освіти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«Технології креативності – стимул для творчості молодших школярів»</w:t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Мета програми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6" w:firstLine="30.000000000000018"/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Підвищити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методичний та практичний рівні професійної компетентності вчителів початкових класів, вихователів груп продовженого дня щодо формування креативного мислення та творчих здібностей молодшого школяра, використовуючи інноваційні технології навчання.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Напрям програми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6"/>
              <w:jc w:val="both"/>
              <w:rPr>
                <w:sz w:val="28"/>
                <w:szCs w:val="2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Р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озвиток професійних компетентностей учителів початкових класів, вихователів ГПД, визначених </w:t>
            </w:r>
            <w:hyperlink r:id="rId7">
              <w:r w:rsidDel="00000000" w:rsidR="00000000" w:rsidRPr="00000000">
                <w:rPr>
                  <w:sz w:val="28"/>
                  <w:szCs w:val="28"/>
                  <w:rtl w:val="0"/>
                </w:rPr>
                <w:t xml:space="preserve">частиною першою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 статті 12 Закону України “Про освіту”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5"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Зміст програми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09" w:right="106" w:firstLine="32.000000000000014"/>
              <w:jc w:val="center"/>
              <w:rPr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Год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Вступ до теми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09" w:right="106" w:hanging="108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Філософські аспекти модернізації освіти в контексті традицій та інновацій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hanging="108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ind w:left="14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Тенденції розвитку світової системи освіти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hanging="108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Професійний розвиток педагогічних працівників в умовах Нової української школи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hanging="108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/>
              <w:jc w:val="both"/>
              <w:rPr>
                <w:sz w:val="28"/>
                <w:szCs w:val="2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sz w:val="30"/>
                <w:szCs w:val="30"/>
                <w:highlight w:val="white"/>
                <w:rtl w:val="0"/>
              </w:rPr>
              <w:t xml:space="preserve">Методи розвитку креативного мислення,  прийоми</w:t>
            </w:r>
            <w:hyperlink r:id="rId8">
              <w:r w:rsidDel="00000000" w:rsidR="00000000" w:rsidRPr="00000000">
                <w:rPr>
                  <w:sz w:val="30"/>
                  <w:szCs w:val="30"/>
                  <w:highlight w:val="white"/>
                  <w:rtl w:val="0"/>
                </w:rPr>
                <w:t xml:space="preserve"> </w:t>
              </w:r>
            </w:hyperlink>
            <w:r w:rsidDel="00000000" w:rsidR="00000000" w:rsidRPr="00000000">
              <w:rPr>
                <w:sz w:val="30"/>
                <w:szCs w:val="30"/>
                <w:highlight w:val="white"/>
                <w:rtl w:val="0"/>
              </w:rPr>
              <w:t xml:space="preserve">теорії розв’язання винахідницьких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hanging="108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2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Психолого-педагогічні аспекти виховання обдарованої дитини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2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Розвиток креативного мислення та творчих здібностей  молодших школярів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1" w:right="142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Розвиток творчих здібностей молодших школярів у процесі вивчення  української мови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ind w:left="14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Креативне письмо як засіб розвитку мотивації навчання молодших школярів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Тематична дискусія з питань формування креативного мислення та творчих здібностей молодших школярів</w:t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" w:hanging="108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gridSpan w:val="2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 кредит ЄКТС (26 аудиторних годин, 4 години – самостійна робота)</w:t>
            </w:r>
          </w:p>
        </w:tc>
      </w:tr>
      <w:tr>
        <w:trPr>
          <w:trHeight w:val="551" w:hRule="atLeast"/>
        </w:trPr>
        <w:tc>
          <w:tcPr>
            <w:gridSpan w:val="2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gridSpan w:val="2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Результати навчання</w:t>
            </w:r>
          </w:p>
          <w:p w:rsidR="00000000" w:rsidDel="00000000" w:rsidP="00000000" w:rsidRDefault="00000000" w:rsidRPr="00000000" w14:paraId="00000081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Здатність до створення безпечних та психологічно комфортних умов освітнього процесу.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Здатність до змістового наповнення освітнього середовища, відповідно до вимог Державного стандарту початкової освіти.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Здатність до координації взаємодії із зацікавленими особами для гармонійного розвитку учнів в межах ГПД.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Здатність до збереження і дотримання правил ціннісних орієнтацій і традицій закладу освіти.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Здатність до врахування при створення освітнього середовища індивідуальних потреб учнів, в тому числі обдарованих дітей, дітей, які мають особливі освітні потреби.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Здатність до відстеження динаміки та забезпечення підтримки особистісного розвитку дитини в освітньому процесі.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Здатність до ефективної командної роботи.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Здатність добирати доцільні методи, засоби й форми навчання відповідно до визначених мети і завдань уроку, іншої форми навчання з урахуванням специфіки змісту навчального матеріалу та індивідуальних особливостей учнів.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Здатність до організації співпраці з батьками в різних формах взаємодії.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Здатність до усвідомлення своєї ролі як педагога, системи цінностей, мети та завдань професійної діяльності вчителя.</w:t>
            </w:r>
          </w:p>
        </w:tc>
      </w:tr>
    </w:tbl>
    <w:p w:rsidR="00000000" w:rsidDel="00000000" w:rsidP="00000000" w:rsidRDefault="00000000" w:rsidRPr="00000000" w14:paraId="0000009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216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3870"/>
        </w:tabs>
        <w:rPr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lang w:bidi="uk-UA"/>
    </w:rPr>
  </w:style>
  <w:style w:type="paragraph" w:styleId="1">
    <w:name w:val="heading 1"/>
    <w:basedOn w:val="a"/>
    <w:link w:val="10"/>
    <w:uiPriority w:val="9"/>
    <w:qFormat w:val="1"/>
    <w:rsid w:val="00A40622"/>
    <w:pPr>
      <w:widowControl w:val="1"/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Pr>
      <w:sz w:val="28"/>
      <w:szCs w:val="28"/>
    </w:rPr>
  </w:style>
  <w:style w:type="paragraph" w:styleId="a5">
    <w:name w:val="List Paragraph"/>
    <w:aliases w:val="для моей работы"/>
    <w:basedOn w:val="a"/>
    <w:link w:val="a6"/>
    <w:uiPriority w:val="1"/>
    <w:qFormat w:val="1"/>
  </w:style>
  <w:style w:type="paragraph" w:styleId="TableParagraph" w:customStyle="1">
    <w:name w:val="Table Paragraph"/>
    <w:basedOn w:val="a"/>
    <w:uiPriority w:val="1"/>
    <w:qFormat w:val="1"/>
    <w:pPr>
      <w:spacing w:line="262" w:lineRule="exact"/>
      <w:ind w:left="108"/>
    </w:pPr>
  </w:style>
  <w:style w:type="table" w:styleId="a7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Balloon Text"/>
    <w:basedOn w:val="a"/>
    <w:link w:val="a9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paragraph" w:styleId="HTML">
    <w:name w:val="HTML Preformatted"/>
    <w:basedOn w:val="a"/>
    <w:link w:val="HTML0"/>
    <w:uiPriority w:val="99"/>
    <w:unhideWhenUsed w:val="1"/>
    <w:rsid w:val="00A40622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bidi="ar-SA"/>
    </w:rPr>
  </w:style>
  <w:style w:type="character" w:styleId="HTML0" w:customStyle="1">
    <w:name w:val="Стандартный HTML Знак"/>
    <w:basedOn w:val="a0"/>
    <w:link w:val="HTML"/>
    <w:uiPriority w:val="99"/>
    <w:rsid w:val="00A40622"/>
    <w:rPr>
      <w:rFonts w:ascii="Courier New" w:cs="Courier New" w:eastAsia="Times New Roman" w:hAnsi="Courier New"/>
      <w:sz w:val="20"/>
      <w:szCs w:val="20"/>
      <w:lang w:eastAsia="uk-UA" w:val="uk-UA"/>
    </w:rPr>
  </w:style>
  <w:style w:type="character" w:styleId="10" w:customStyle="1">
    <w:name w:val="Заголовок 1 Знак"/>
    <w:basedOn w:val="a0"/>
    <w:link w:val="1"/>
    <w:uiPriority w:val="9"/>
    <w:rsid w:val="00A40622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 w:val="uk-UA"/>
    </w:rPr>
  </w:style>
  <w:style w:type="paragraph" w:styleId="aa">
    <w:name w:val="Normal (Web)"/>
    <w:basedOn w:val="a"/>
    <w:uiPriority w:val="99"/>
    <w:unhideWhenUsed w:val="1"/>
    <w:rsid w:val="0020765A"/>
    <w:pPr>
      <w:widowControl w:val="1"/>
      <w:spacing w:after="100" w:afterAutospacing="1" w:before="100" w:beforeAutospacing="1"/>
    </w:pPr>
    <w:rPr>
      <w:sz w:val="24"/>
      <w:szCs w:val="24"/>
      <w:lang w:bidi="ar-SA" w:eastAsia="ru-RU" w:val="ru-RU"/>
    </w:rPr>
  </w:style>
  <w:style w:type="character" w:styleId="ab">
    <w:name w:val="Hyperlink"/>
    <w:basedOn w:val="a0"/>
    <w:uiPriority w:val="99"/>
    <w:unhideWhenUsed w:val="1"/>
    <w:rsid w:val="0020765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 w:val="1"/>
    <w:unhideWhenUsed w:val="1"/>
    <w:rsid w:val="00D16EC2"/>
    <w:rPr>
      <w:color w:val="800080" w:themeColor="followedHyperlink"/>
      <w:u w:val="single"/>
    </w:rPr>
  </w:style>
  <w:style w:type="character" w:styleId="a6" w:customStyle="1">
    <w:name w:val="Абзац списка Знак"/>
    <w:aliases w:val="для моей работы Знак"/>
    <w:link w:val="a5"/>
    <w:uiPriority w:val="34"/>
    <w:locked w:val="1"/>
    <w:rsid w:val="005F2F67"/>
    <w:rPr>
      <w:rFonts w:ascii="Times New Roman" w:cs="Times New Roman" w:eastAsia="Times New Roman" w:hAnsi="Times New Roman"/>
      <w:lang w:bidi="uk-UA" w:eastAsia="uk-UA" w:val="uk-UA"/>
    </w:rPr>
  </w:style>
  <w:style w:type="paragraph" w:styleId="Default" w:customStyle="1">
    <w:name w:val="Default"/>
    <w:rsid w:val="005F2F67"/>
    <w:pPr>
      <w:widowControl w:val="1"/>
      <w:adjustRightInd w:val="0"/>
    </w:pPr>
    <w:rPr>
      <w:color w:val="000000"/>
      <w:sz w:val="24"/>
      <w:szCs w:val="24"/>
      <w:lang w:val="ru-RU"/>
    </w:rPr>
  </w:style>
  <w:style w:type="paragraph" w:styleId="ad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</w:tblPr>
  </w:style>
  <w:style w:type="paragraph" w:styleId="af0">
    <w:name w:val="annotation text"/>
    <w:basedOn w:val="a"/>
    <w:link w:val="af1"/>
    <w:uiPriority w:val="99"/>
    <w:semiHidden w:val="1"/>
    <w:unhideWhenUsed w:val="1"/>
    <w:rPr>
      <w:sz w:val="20"/>
      <w:szCs w:val="20"/>
    </w:rPr>
  </w:style>
  <w:style w:type="character" w:styleId="af1" w:customStyle="1">
    <w:name w:val="Текст примечания Знак"/>
    <w:basedOn w:val="a0"/>
    <w:link w:val="af0"/>
    <w:uiPriority w:val="99"/>
    <w:semiHidden w:val="1"/>
    <w:rPr>
      <w:sz w:val="20"/>
      <w:szCs w:val="20"/>
      <w:lang w:bidi="uk-UA"/>
    </w:rPr>
  </w:style>
  <w:style w:type="character" w:styleId="af2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akon.rada.gov.ua/laws/show/2145-19#n187" TargetMode="External"/><Relationship Id="rId8" Type="http://schemas.openxmlformats.org/officeDocument/2006/relationships/hyperlink" Target="https://uk.wikipedia.org/wiki/%D0%A2%D0%B5%D0%BE%D1%80%D1%96%D1%8F_%D1%80%D0%BE%D0%B7%D0%B2%27%D1%8F%D0%B7%D0%B0%D0%BD%D0%BD%D1%8F_%D0%B2%D0%B8%D0%BD%D0%B0%D1%85%D1%96%D0%B4%D0%BD%D0%B8%D1%86%D1%8C%D0%BA%D0%B8%D1%85_%D0%B7%D0%B0%D0%B4%D0%B0%D1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nwcSb1sH0L/3S5WUxKNGdRSU0w==">AMUW2mV0ixdZb3fLSEqhpNAX9H9vs3yeSEy3JlXaq01BA9aoPtCSvn0YTZ7W2H4RSmAcZE67VwH4z7OZZ1tf27cwMI8fjcjcWSNPVP21isQ+D+si/tqKgp9wPEtIYZKdTBqoEgLOZUm1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2020-01-15T15:50:00Z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