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КОМУНАЛЬНИЙ НАВЧАЛЬНИЙ ЗАКЛАД КИЇВСЬКОЇ ОБЛАСНОЇ РАДИ </w:t>
      </w:r>
    </w:p>
    <w:p w:rsidR="00000000" w:rsidDel="00000000" w:rsidP="00000000" w:rsidRDefault="00000000" w:rsidRPr="00000000" w14:paraId="00000002">
      <w:pPr>
        <w:ind w:right="3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0.0" w:type="dxa"/>
        <w:tblLayout w:type="fixed"/>
        <w:tblLook w:val="0400"/>
      </w:tblPr>
      <w:tblGrid>
        <w:gridCol w:w="4075"/>
        <w:gridCol w:w="1559"/>
        <w:gridCol w:w="3966"/>
        <w:tblGridChange w:id="0">
          <w:tblGrid>
            <w:gridCol w:w="4075"/>
            <w:gridCol w:w="1559"/>
            <w:gridCol w:w="3966"/>
          </w:tblGrid>
        </w:tblGridChange>
      </w:tblGrid>
      <w:tr>
        <w:trPr>
          <w:trHeight w:val="750" w:hRule="atLeast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ind w:left="62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ДИРЕКТОРІВ, ЗАСТУПНИКІВ ДИРЕКТОРІВ ЗАКЛАДІВ ЗАГАЛЬНОЇ СЕРЕДНЬОЇ ОСВІТИ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«КАДРОВА ПОЛІТИКА ТА ЗАБЕЗПЕЧЕННЯ МОЖЛИВОСТЕЙ ДЛЯ ПРОФЕСІЙНОГО РОЗВИТКУ ПЕДАГОГІЧНИХ ПРАЦІВНИКІВ»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420"/>
        </w:tabs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65"/>
        <w:jc w:val="center"/>
        <w:rPr>
          <w:rFonts w:ascii="Times New Roman" w:cs="Times New Roman" w:eastAsia="Times New Roman" w:hAnsi="Times New Roman"/>
        </w:rPr>
        <w:sectPr>
          <w:footerReference r:id="rId7" w:type="default"/>
          <w:pgSz w:h="16840" w:w="11910"/>
          <w:pgMar w:bottom="1134" w:top="1134" w:left="1701" w:right="567" w:header="709" w:footer="709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1"/>
        <w:gridCol w:w="549"/>
        <w:gridCol w:w="6505"/>
        <w:gridCol w:w="600"/>
        <w:tblGridChange w:id="0">
          <w:tblGrid>
            <w:gridCol w:w="1991"/>
            <w:gridCol w:w="549"/>
            <w:gridCol w:w="6505"/>
            <w:gridCol w:w="600"/>
          </w:tblGrid>
        </w:tblGridChange>
      </w:tblGrid>
      <w:tr>
        <w:trPr>
          <w:trHeight w:val="554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Бачинська Є. 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проректор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наук;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Сушко С.О.,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завідувач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Бондаренко Л. 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методист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1022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Освітня програма підвищення кваліфікації директорів, заступників директорів закладів освіти «Кадрова політика та забезпечення можливостей для професійного розвитку педагогічних працівників»</w:t>
            </w:r>
          </w:p>
        </w:tc>
      </w:tr>
      <w:tr>
        <w:trPr>
          <w:trHeight w:val="1004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ind w:right="91" w:firstLine="29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Підвищити рівень професійної та нормативно-правової компетентності директорів та заступників директорів закладів щодо регулювання трудових відносин працівників у сфері освіти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ind w:left="105" w:firstLine="21.99999999999999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Напрям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ind w:left="107" w:right="91" w:firstLine="25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Розвиток професійних компетентностей директорів та заступників директорів закладів освіти щодо регулювання трудових відносин працівників у сфері освіти 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pos="5529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5529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Законодавство про працю: зміни та нововведення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Механізми стимулювання професійного розвитку педагогічних кадрів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індивідуальної програми професійного розвитку вчителя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Вектори змін шкільної методичної роботи в контексті реформування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Нова українська школа: міжнародні стандарти та національні пріоритети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Проблемні питання атестації педагогічних працівників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Сертифікація – зовнішнє незалежне оцінювання професійних компетентностей педагогічного працівника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9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Освітньо-професійний імідж сучасного педагога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42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Основи академічної доброчесності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Співпраця зі здобувачами освіти в умовах закладу освіти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Планування педагогічними працівниками своєї діяльності з метою формування ключових компетентностей здобувачів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питань кадрової політики у закладі загальної середньої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ind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 кредит ЄКТС (26 аудиторних год., 4 год. – 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66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64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59" w:lineRule="auto"/>
              <w:ind w:hanging="108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66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pos="142"/>
                <w:tab w:val="left" w:pos="425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u w:val="singl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застосовувати отримані знання у професійній діяльності.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моніторити законодавчі зміни з відповідних питань.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Уміння виявляти, ставити та вирішувати актуальні завдання.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діяти етично, соціально відповідально та свідомо.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142"/>
                <w:tab w:val="left" w:pos="425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  <w:rtl w:val="0"/>
              </w:rPr>
              <w:t xml:space="preserve">Спеціальні компетентності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</w:tabs>
              <w:spacing w:after="0" w:before="0" w:line="240" w:lineRule="auto"/>
              <w:ind w:left="277" w:right="0" w:hanging="27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 Здатність дотримуватись вимог нормативно-правових документів, що регламентують організацію освітнього процесу.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7" w:right="0" w:hanging="27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 Здатність застосовувати отримані знання у професійній діяльності. 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 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 Уміння виявляти, ставити та вирішувати актуальні завдання. 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 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 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7" w:right="0" w:hanging="27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 Здатність до створення безпечних, психологічно комфортних та толерантних умов освітнього процесу.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</w:tabs>
              <w:spacing w:after="0" w:before="0" w:line="240" w:lineRule="auto"/>
              <w:ind w:left="277" w:right="0" w:hanging="27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 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 Здатність до планування заходів щодо досягнення власних цілей щодо професійного розвитку.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 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 Здатність навчатися упродовж життя.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142"/>
                <w:tab w:val="left" w:pos="425"/>
              </w:tabs>
              <w:spacing w:after="0" w:lineRule="auto"/>
              <w:ind w:left="277" w:hanging="277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 Здатність оцінювати межі власної фахової компетентності та підвищувати професійну кваліфікацію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216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1134"/>
        </w:tabs>
        <w:ind w:right="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083" w:hanging="360"/>
      </w:pPr>
      <w:rPr/>
    </w:lvl>
    <w:lvl w:ilvl="2">
      <w:start w:val="1"/>
      <w:numFmt w:val="lowerRoman"/>
      <w:lvlText w:val="%3."/>
      <w:lvlJc w:val="right"/>
      <w:pPr>
        <w:ind w:left="1803" w:hanging="180"/>
      </w:pPr>
      <w:rPr/>
    </w:lvl>
    <w:lvl w:ilvl="3">
      <w:start w:val="1"/>
      <w:numFmt w:val="decimal"/>
      <w:lvlText w:val="%4."/>
      <w:lvlJc w:val="left"/>
      <w:pPr>
        <w:ind w:left="2523" w:hanging="360"/>
      </w:pPr>
      <w:rPr/>
    </w:lvl>
    <w:lvl w:ilvl="4">
      <w:start w:val="1"/>
      <w:numFmt w:val="lowerLetter"/>
      <w:lvlText w:val="%5."/>
      <w:lvlJc w:val="left"/>
      <w:pPr>
        <w:ind w:left="3243" w:hanging="360"/>
      </w:pPr>
      <w:rPr/>
    </w:lvl>
    <w:lvl w:ilvl="5">
      <w:start w:val="1"/>
      <w:numFmt w:val="lowerRoman"/>
      <w:lvlText w:val="%6."/>
      <w:lvlJc w:val="right"/>
      <w:pPr>
        <w:ind w:left="3963" w:hanging="180"/>
      </w:pPr>
      <w:rPr/>
    </w:lvl>
    <w:lvl w:ilvl="6">
      <w:start w:val="1"/>
      <w:numFmt w:val="decimal"/>
      <w:lvlText w:val="%7."/>
      <w:lvlJc w:val="left"/>
      <w:pPr>
        <w:ind w:left="4683" w:hanging="360"/>
      </w:pPr>
      <w:rPr/>
    </w:lvl>
    <w:lvl w:ilvl="7">
      <w:start w:val="1"/>
      <w:numFmt w:val="lowerLetter"/>
      <w:lvlText w:val="%8."/>
      <w:lvlJc w:val="left"/>
      <w:pPr>
        <w:ind w:left="5403" w:hanging="360"/>
      </w:pPr>
      <w:rPr/>
    </w:lvl>
    <w:lvl w:ilvl="8">
      <w:start w:val="1"/>
      <w:numFmt w:val="lowerRoman"/>
      <w:lvlText w:val="%9."/>
      <w:lvlJc w:val="right"/>
      <w:pPr>
        <w:ind w:left="612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28A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2368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23684C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1"/>
    <w:qFormat w:val="1"/>
    <w:rsid w:val="0070580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uk-UA" w:eastAsia="uk-UA" w:val="uk-UA"/>
    </w:rPr>
  </w:style>
  <w:style w:type="paragraph" w:styleId="TableParagraph" w:customStyle="1">
    <w:name w:val="Table Paragraph"/>
    <w:basedOn w:val="a"/>
    <w:uiPriority w:val="1"/>
    <w:qFormat w:val="1"/>
    <w:rsid w:val="00705807"/>
    <w:pPr>
      <w:widowControl w:val="0"/>
      <w:autoSpaceDE w:val="0"/>
      <w:autoSpaceDN w:val="0"/>
      <w:spacing w:after="0" w:line="262" w:lineRule="exact"/>
      <w:ind w:left="108"/>
    </w:pPr>
    <w:rPr>
      <w:rFonts w:ascii="Times New Roman" w:cs="Times New Roman" w:eastAsia="Times New Roman" w:hAnsi="Times New Roman"/>
      <w:lang w:bidi="uk-UA" w:eastAsia="uk-UA" w:val="uk-UA"/>
    </w:rPr>
  </w:style>
  <w:style w:type="table" w:styleId="TableNormal" w:customStyle="1">
    <w:name w:val="Table Normal"/>
    <w:uiPriority w:val="2"/>
    <w:semiHidden w:val="1"/>
    <w:qFormat w:val="1"/>
    <w:rsid w:val="00705807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TErukMM/6zzYLvEmoCZdLZj6A==">AMUW2mVIVN/7f7Sk6N7kTmRmyR9q0N9hJJLD3yNlfF4bU9XKxHvovoyApzeoAMPWilxkLqiOoRbtBAiRcA93rcvr479xgaIynzkhotgUGYVtuz/Iz/DrHeFd2nh0sgFuUzgri/rDeFAJ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2020-03-23T17:13:00Z</dcterms:created>
  <dc:creator>Пользователь Windows</dc:creator>
</cp:coreProperties>
</file>