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 УЧИТЕЛІВ УКРАЇНСЬКОЇ МОВИ ТА ЛІТЕРАТУРИ, ІНОЗЕМНОЇ МОВИ, ЗАРУБІЖНОЇ ЛІТЕРАТУРИ, ІСТОРІЇ ТА ПРАВОЗНАВСТВА, ГРОМАДЯНСЬКОЇ ОСВІТИ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ЗАКЛАДІВ ЗАГАЛЬНОЇ СЕРЕДНЬОЇ ОСВІТИ </w:t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9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«РЕАЛІЗАЦІЯ НАСКРІЗНОЇ ЗМІСТОВОЇ ЛІНІЇ </w:t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97"/>
        <w:jc w:val="center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«ГРОМАДЯНСЬКА ВІДПОВІДАЛЬНІСТЬ» У ПРОЦЕСІ ВИВЧЕННЯ СУСПІЛЬНО-ГУМАНІТАРНИХ ПРЕДМЕТІВ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7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1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90"/>
        <w:gridCol w:w="630"/>
        <w:gridCol w:w="6480"/>
        <w:gridCol w:w="711"/>
        <w:tblGridChange w:id="0">
          <w:tblGrid>
            <w:gridCol w:w="2190"/>
            <w:gridCol w:w="630"/>
            <w:gridCol w:w="6480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Боярчук О.І.,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завідувачка відділу виховної роботи та позашкільної освіти, старша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Микитюк Л.В.,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методистка відділу виховної роботи та позашкільної освіти,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рограма підвищення кваліфікації вчителів української мови та літератури, іноземної мови, зарубіжної літератури, історії та правознавства,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громадянської освіти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з теми: «Реалізація наскрізної змістової лінії «Громадянська відповідальність» у процесі вивчення суспільно-гуманітарних предметів» 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96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Сфокусувати увагу й зусилля педагогів на реалізації наскрізної змістової лінії «Громадянська відповідальність», посилити спроможність вчителів формувати й оцінювати громадянські компетентності у процесі вивчення суспільно-гуманітарних  предметів (за підходами та матеріалами Ради Європи).</w:t>
            </w:r>
          </w:p>
        </w:tc>
      </w:tr>
      <w:tr>
        <w:trPr>
          <w:trHeight w:val="3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96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Громадянська освіта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958" w:right="1954" w:hanging="108.00000000000011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firstLine="33.0000000000000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Вступ до теми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Реформування системи освіти України в історичному та філософському контекстах 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374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Професійний розвиток педагогічних працівників в умовах Нової української школи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Права людини та дитини: розуміння вертикалі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Модель компетентностей для культури демократії: наскрізний підхід реалізації змістової лінії «Громадянська відповідальність»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pos="5529"/>
              </w:tabs>
              <w:ind w:left="108" w:firstLine="33.0000000000000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Моделювання вправ для формування громадянської компетентності на уроках суспільно-гуманітарних предметів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61" w:lineRule="auto"/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Дескриптори компетентностей для культури демократії. Картки «Демократія для всіх»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left" w:pos="5529"/>
              </w:tabs>
              <w:ind w:left="108" w:firstLine="33.0000000000000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Мапування вправ з розвитку громадянських компетентностей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Формувальне оцінювання як інструмент розвитку громадянської компетентності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Тематична дискусія з питань формування та оцінювання громадянських компетентностей у процесі вивчення суспільно-гуманітарних  предметів.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кредит ЄКТС / 30 годин (26 аудиторних годин, 4 години – керована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Інститутційна (о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чна) форма підвищення кваліфікації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tabs>
                <w:tab w:val="left" w:pos="21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Перелік компетентностей, що вдосконалюватимуться/набуватимуться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Здатність вивчати, аналізувати та застосовувати під час планування освітнього процесу професійну літературу, подану в паперовій та електронній формах.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планувати роботу, розробляти календарно-тематичне планування змісту освітніх галузей, план виховної роботи, планувати професійний саморозвиток вчителя.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до проведення формувального та підсумкового оцінювання навчальних досягнень учнів.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до відстеження динаміки та забезпечення підтримки особистісного розвитку дитини в освітньому процесі.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до збереження і дотримання правил, ціннісних орієнтацій і традицій закладу освіти.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до усвідомлення потреби в саморозвитку з метою набуття додаткових професійних компетентностей.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до використання/поширення інновацій у педагогічній науці та практиці, перспективного педагогічного досвіду.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до апробації розроблених систем навчальних, виховних і розвивальних завдань / систем уроків тощо для реалізації основних ідей дослідження.</w:t>
            </w:r>
          </w:p>
        </w:tc>
      </w:tr>
    </w:tbl>
    <w:p w:rsidR="00000000" w:rsidDel="00000000" w:rsidP="00000000" w:rsidRDefault="00000000" w:rsidRPr="00000000" w14:paraId="0000007E">
      <w:pPr>
        <w:rPr>
          <w:sz w:val="16"/>
          <w:szCs w:val="16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851" w:left="1080" w:right="853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897630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89763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sid w:val="00897630"/>
    <w:rPr>
      <w:sz w:val="28"/>
      <w:szCs w:val="28"/>
    </w:rPr>
  </w:style>
  <w:style w:type="paragraph" w:styleId="a5">
    <w:name w:val="List Paragraph"/>
    <w:basedOn w:val="a"/>
    <w:uiPriority w:val="34"/>
    <w:qFormat w:val="1"/>
    <w:rsid w:val="00897630"/>
  </w:style>
  <w:style w:type="paragraph" w:styleId="TableParagraph" w:customStyle="1">
    <w:name w:val="Table Paragraph"/>
    <w:basedOn w:val="a"/>
    <w:uiPriority w:val="1"/>
    <w:qFormat w:val="1"/>
    <w:rsid w:val="00897630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Bodytext" w:customStyle="1">
    <w:name w:val="Body text_"/>
    <w:basedOn w:val="a0"/>
    <w:link w:val="10"/>
    <w:uiPriority w:val="99"/>
    <w:locked w:val="1"/>
    <w:rsid w:val="00B555D3"/>
    <w:rPr>
      <w:rFonts w:cs="Times New Roman"/>
      <w:sz w:val="27"/>
      <w:szCs w:val="27"/>
      <w:shd w:color="auto" w:fill="ffffff" w:val="clear"/>
    </w:rPr>
  </w:style>
  <w:style w:type="paragraph" w:styleId="10" w:customStyle="1">
    <w:name w:val="Основной текст1"/>
    <w:basedOn w:val="a"/>
    <w:link w:val="Bodytext"/>
    <w:uiPriority w:val="99"/>
    <w:rsid w:val="00B555D3"/>
    <w:pPr>
      <w:widowControl w:val="1"/>
      <w:shd w:color="auto" w:fill="ffffff" w:val="clear"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bidi="ar-SA" w:eastAsia="en-US" w:val="en-US"/>
    </w:rPr>
  </w:style>
  <w:style w:type="paragraph" w:styleId="msonormalcxspmiddle" w:customStyle="1">
    <w:name w:val="msonormalcxspmiddle"/>
    <w:basedOn w:val="a"/>
    <w:rsid w:val="00B555D3"/>
    <w:pPr>
      <w:widowControl w:val="1"/>
      <w:spacing w:after="100" w:afterAutospacing="1" w:before="100" w:beforeAutospacing="1"/>
    </w:pPr>
    <w:rPr>
      <w:sz w:val="24"/>
      <w:szCs w:val="24"/>
      <w:lang w:bidi="ar-SA" w:eastAsia="ru-RU" w:val="ru-RU"/>
    </w:rPr>
  </w:style>
  <w:style w:type="character" w:styleId="a9" w:customStyle="1">
    <w:name w:val="Основной текст_"/>
    <w:link w:val="50"/>
    <w:locked w:val="1"/>
    <w:rsid w:val="00B555D3"/>
    <w:rPr>
      <w:sz w:val="31"/>
      <w:szCs w:val="31"/>
      <w:shd w:color="auto" w:fill="ffffff" w:val="clear"/>
    </w:rPr>
  </w:style>
  <w:style w:type="paragraph" w:styleId="50" w:customStyle="1">
    <w:name w:val="Основной текст5"/>
    <w:basedOn w:val="a"/>
    <w:link w:val="a9"/>
    <w:rsid w:val="00B555D3"/>
    <w:pPr>
      <w:shd w:color="auto" w:fill="ffffff" w:val="clear"/>
      <w:spacing w:after="120" w:before="5460" w:line="0" w:lineRule="atLeast"/>
      <w:ind w:hanging="2060"/>
      <w:jc w:val="center"/>
    </w:pPr>
    <w:rPr>
      <w:rFonts w:asciiTheme="minorHAnsi" w:cstheme="minorBidi" w:eastAsiaTheme="minorHAnsi" w:hAnsiTheme="minorHAnsi"/>
      <w:sz w:val="31"/>
      <w:szCs w:val="31"/>
      <w:lang w:bidi="ar-SA" w:eastAsia="en-US" w:val="en-US"/>
    </w:rPr>
  </w:style>
  <w:style w:type="character" w:styleId="20" w:customStyle="1">
    <w:name w:val="Основной текст (2) + Курсив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1"/>
      <w:iCs w:val="1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" w:customStyle="1">
    <w:name w:val="Основной текст (2)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5pt" w:customStyle="1">
    <w:name w:val="Основной текст (2) + 15 pt"/>
    <w:aliases w:val="Полужирный,Курсив"/>
    <w:basedOn w:val="a0"/>
    <w:rsid w:val="00B555D3"/>
    <w:rPr>
      <w:rFonts w:ascii="Times New Roman" w:cs="Times New Roman" w:eastAsia="Times New Roman" w:hAnsi="Times New Roman" w:hint="default"/>
      <w:b w:val="1"/>
      <w:bCs w:val="1"/>
      <w:i w:val="1"/>
      <w:iCs w:val="1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bidi="uk-UA" w:eastAsia="uk-UA" w:val="uk-UA"/>
    </w:rPr>
  </w:style>
  <w:style w:type="character" w:styleId="aa">
    <w:name w:val="Hyperlink"/>
    <w:basedOn w:val="a0"/>
    <w:uiPriority w:val="99"/>
    <w:unhideWhenUsed w:val="1"/>
    <w:rsid w:val="0098410A"/>
    <w:rPr>
      <w:color w:val="0000ff"/>
      <w:u w:val="single"/>
    </w:rPr>
  </w:style>
  <w:style w:type="character" w:styleId="ab">
    <w:name w:val="Strong"/>
    <w:basedOn w:val="a0"/>
    <w:uiPriority w:val="22"/>
    <w:qFormat w:val="1"/>
    <w:rsid w:val="0098410A"/>
    <w:rPr>
      <w:b w:val="1"/>
      <w:bCs w:val="1"/>
    </w:rPr>
  </w:style>
  <w:style w:type="paragraph" w:styleId="11" w:customStyle="1">
    <w:name w:val="Абзац списка1"/>
    <w:basedOn w:val="a"/>
    <w:rsid w:val="0098410A"/>
    <w:pPr>
      <w:widowControl w:val="1"/>
      <w:ind w:left="720" w:firstLine="709"/>
      <w:contextualSpacing w:val="1"/>
      <w:jc w:val="both"/>
    </w:pPr>
    <w:rPr>
      <w:rFonts w:eastAsia="Calibri"/>
      <w:sz w:val="28"/>
      <w:szCs w:val="24"/>
      <w:lang w:bidi="ar-SA" w:eastAsia="ru-RU" w:val="ru-RU"/>
    </w:rPr>
  </w:style>
  <w:style w:type="paragraph" w:styleId="western" w:customStyle="1">
    <w:name w:val="western"/>
    <w:basedOn w:val="a"/>
    <w:uiPriority w:val="99"/>
    <w:rsid w:val="0098410A"/>
    <w:pPr>
      <w:widowControl w:val="1"/>
      <w:spacing w:after="100" w:afterAutospacing="1" w:before="100" w:beforeAutospacing="1"/>
    </w:pPr>
    <w:rPr>
      <w:rFonts w:eastAsia="Calibri"/>
      <w:sz w:val="24"/>
      <w:szCs w:val="24"/>
      <w:lang w:bidi="ar-SA"/>
    </w:rPr>
  </w:style>
  <w:style w:type="paragraph" w:styleId="ac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99WoMrlPQOywXC2/EPE3b+Rgsg==">AMUW2mVojI9prKhjKvUCvVO2blwUZKnY5vGItC5UUNnQIBWsTidNfxwNoXPGPg0IEDjdKUIYnF0myiI1cRcht50ta7aRi1xKTwkaLMC9h+b7COP2uEUufw0gSOD/YHWhZoHRXMc6GzmW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2020-01-13T08:11:00Z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