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ВЧИТЕЛІВ ПОЧАТКОВИХ КЛАСІВ, ВИХОВАТЕЛІВ ГРУП ПОДОВЖЕНОГО ДНЯ  ЗАКЛАДІВ ЗАГАЛЬНОЇ СЕРЕДНЬОЇ ОСВІТИ З ТЕМИ 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«РУХОВА АКТИВНІСТЬ МОЛОДШОГО ШКОЛЯРА – ОСНОВА ФОРМУВАННЯ ЗДОРОВ’ЯЗБЕРЕЖУВАЛЬНОЇ КОМПЕТЕНТНОСТІ» (розробники: Ткаченко Л.П., Качуровський В.С.)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6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95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5"/>
        <w:gridCol w:w="555"/>
        <w:gridCol w:w="6975"/>
        <w:gridCol w:w="450"/>
        <w:tblGridChange w:id="0">
          <w:tblGrid>
            <w:gridCol w:w="2115"/>
            <w:gridCol w:w="555"/>
            <w:gridCol w:w="6975"/>
            <w:gridCol w:w="450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Розробники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firstLine="34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Ткаченко Л.П.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, завідувач відділу початкової освіти, старший викладач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firstLine="34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Качуровський В.С.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, завідувач відділу фізичної культури та захисту Вітчизни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Київської обласної ради «Київський обласний інститут післядипломної освіти педагогічних кадрів»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34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Освітня п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рограма підвищення кваліфікації вчителів початкових класів, вихователів груп продовженого дня закладів загальної середньої освіти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«Рухова активність молодшого школяра – основа формування здоров’язбережувальної компетентності»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6" w:firstLine="34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Підвищити</w:t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науковий, методичний та практичний рівні професійної компетентності вчителів початкових класів та вихователів груп продовженого дня щодо організації рухової активності учнів початкових класів як основи формування здоров’язбережувальної компетентності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spacing w:line="276" w:lineRule="auto"/>
              <w:ind w:left="107" w:right="144" w:firstLine="34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Створення освітнього середовища для організації рухової активності учнів початкових класів; розвиток професійних компетентностей учителів початкових класів, вихователів ГПД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Год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Реформування системи освіти України в історичному та філософському контекстах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ind w:left="14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Національна мовна політика в Україні.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Нормативно-правове та  навчально-методичне забезпечення викладання фізичної культури в школі І ступеня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Особливості викладання фізичної культури в школі І ступеня за типовими освітніми програмами в умовах НУШ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Методика навчання молодших школярів гімнастичним та легкоатлетичним вправам на уроках фізичної культури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76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Фізкультурно-оздоровчі заходи в освітньому середовищі школи І ступеня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Організація рухової активності учнів в умовах групи подовженого дня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Освітня кінезіологія: розвиток розумових здібностей і фізичного здоров’я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41"/>
              <w:jc w:val="both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Тематична дискусія з питання організації рухової активності у школі І ступеня 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hanging="108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 кредит ЄКТС (26 – аудиторні години,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Результати навчання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Володіння нормативно-правовою базою щодо створення освітнього середовища для організації рухової активності молодших школярів.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організації фізкультурно-оздоровчих заходів в освітньому середовищі школи І ступеня.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Володіння методиками проведення гімнастичних та легкоатлетичних вправ на уроках фізичної культури та в групі подовженого дня.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упроваджувати освітню кінезіологію для розвитку розумових здібностей та фізичного здоров’я молодших школярів. 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врахування при організації рухової активності індивідуальних потреб учнів, в тому числі обдарованих дітей, дітей, які мають особливі освітні потреби.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координації взаємодії із зацікавленими особами для гармонійного фізичного розвитку учнів початкових класів у позашкільній роботі.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8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72"/>
          <w:szCs w:val="72"/>
          <w:highlight w:val="red"/>
        </w:rPr>
      </w:pPr>
      <w:bookmarkStart w:colFirst="0" w:colLast="0" w:name="_heading=h.30j0zll" w:id="1"/>
      <w:bookmarkEnd w:id="1"/>
      <w:r w:rsidDel="00000000" w:rsidR="00000000" w:rsidRPr="00000000">
        <w:rPr>
          <w:sz w:val="72"/>
          <w:szCs w:val="72"/>
          <w:highlight w:val="red"/>
          <w:rtl w:val="0"/>
        </w:rPr>
        <w:t xml:space="preserve"> </w:t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8"/>
      <w:szCs w:val="28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</w:tblPr>
  </w:style>
  <w:style w:type="paragraph" w:styleId="ac">
    <w:name w:val="annotation text"/>
    <w:basedOn w:val="a"/>
    <w:link w:val="ad"/>
    <w:uiPriority w:val="99"/>
    <w:semiHidden w:val="1"/>
    <w:unhideWhenUsed w:val="1"/>
    <w:rPr>
      <w:sz w:val="20"/>
      <w:szCs w:val="20"/>
    </w:rPr>
  </w:style>
  <w:style w:type="character" w:styleId="ad" w:customStyle="1">
    <w:name w:val="Текст примечания Знак"/>
    <w:basedOn w:val="a0"/>
    <w:link w:val="ac"/>
    <w:uiPriority w:val="99"/>
    <w:semiHidden w:val="1"/>
    <w:rPr>
      <w:sz w:val="20"/>
      <w:szCs w:val="20"/>
      <w:lang w:bidi="uk-UA"/>
    </w:rPr>
  </w:style>
  <w:style w:type="character" w:styleId="ae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t0cAyovhEhC9UIT2pbLW2m9j9g==">AMUW2mWO/OoIndLUBVGO5QokbL8zoxvdm2Utjr0OSdpci2uJgjktWOPnuSHc7YAZDGJzEXsboQIqyvJiwTPpAEy3csmlxZmSQwrw/dmsLMX9Ft/bWMtZtD2U3xQfK0+x/oy9fTTyBEBe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2020-01-15T15:50:00Z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