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38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560"/>
        <w:gridCol w:w="3969"/>
        <w:tblGridChange w:id="0">
          <w:tblGrid>
            <w:gridCol w:w="4077"/>
            <w:gridCol w:w="1560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D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E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6286"/>
        </w:tabs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ДИРЕКТОРІВ, ЗАСТУПНИКІВ ДИРЕКТОРІВ ЗАКЛАДІВ ЗАГАЛЬНОЇ СЕРЕДНЬОЇ ОСВІТИ 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«ПРАВОВЕ РЕГУЛЮВАННЯ ТРУДОВИХ ВІДНОСИН ПРАЦІВНИКІВ У СФЕРІ ОСВІТИ. КАДРОВЕ ДІЛОВОДСТВО»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i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420"/>
        </w:tabs>
        <w:rPr>
          <w:color w:val="000000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ab/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7">
      <w:pPr>
        <w:jc w:val="center"/>
        <w:rPr/>
        <w:sectPr>
          <w:pgSz w:h="16840" w:w="11910"/>
          <w:pgMar w:bottom="1134" w:top="1134" w:left="1701" w:right="567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5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93"/>
        <w:gridCol w:w="549"/>
        <w:gridCol w:w="6510"/>
        <w:gridCol w:w="600"/>
        <w:tblGridChange w:id="0">
          <w:tblGrid>
            <w:gridCol w:w="1993"/>
            <w:gridCol w:w="549"/>
            <w:gridCol w:w="6510"/>
            <w:gridCol w:w="600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Розробник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Маніленко І. В., методист відділу управління закладами освіти Комунального навчального закладу Київської обласної ради «Київський обласний інститут післядипломної освіти педагогічних кадрів», старший викладач кафедри педагогіки, психології та менеджменту освіти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Освітня програма підвищення кваліфікації директорів, заступників директорів закладів освіти «Правове регулювання трудових відносин працівників у сфері освіти. Кадрове діловодство»</w:t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1"/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Підвищити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рівень професійної та нормативно-правової компетентності директорів та заступників директорів закладів щодо регулювання трудових відносин працівників у сфері освіти та особливостей організації кадрового діловодства у закладі освіти за новими вимогами та стандартами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20.999999999999996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Напрям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1"/>
              <w:jc w:val="both"/>
              <w:rPr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Розвиток професійних компетентностей директорів та заступників директорів закладів освіти щодо регулювання трудових відносин працівників у сфері освіти та особливостей організації кадрового діловодства у закладі освіти за новими вимогами та стандартами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right="106"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Год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1"/>
              <w:jc w:val="both"/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Вступ до теми.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Законодавство про працю: зміни та нововведення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right="106" w:hanging="108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Організаційна культура як механізм розвитку ефективної школи</w:t>
            </w:r>
            <w:r w:rsidDel="00000000" w:rsidR="00000000" w:rsidRPr="00000000">
              <w:rPr>
                <w:i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hanging="108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Механізми стимулювання професійного розвитку педагогічних кадрів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hanging="108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Кадрове діловодство закладу освіти: нові вимоги та стандарти. Зразки документів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hanging="108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Прийняття на роботу: крок за кроком. Квоти для працевлаштування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hanging="108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Трудовий договір: строки і форми. Цивільно-правовий договір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Особові справи працівників освіти по-новому. Трудові книжки: особливості ведення та зразки записів</w:t>
            </w:r>
            <w:r w:rsidDel="00000000" w:rsidR="00000000" w:rsidRPr="00000000">
              <w:rPr>
                <w:i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Сумісництво та суміщення у сфері освіти. Тимчасові та сезонні працівники: від прийняття до звільнення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39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Табельний облік робочого часу. Листок непрацездатності. Організація військового обліку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42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42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Відпустки у сфері освіти: види та особливості надання</w:t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29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hd w:fill="ffffff" w:val="clear"/>
              <w:ind w:left="14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Переведення та звільнення: підстави та способи. Скорочення працівників</w:t>
            </w:r>
            <w:r w:rsidDel="00000000" w:rsidR="00000000" w:rsidRPr="00000000">
              <w:rPr>
                <w:i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/>
              <w:jc w:val="both"/>
              <w:rPr>
                <w:color w:val="000000"/>
                <w:sz w:val="28"/>
                <w:szCs w:val="28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Охорона праці. Трудові спори. Відповідальність у сфері праці. Кадрова звітність </w:t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" w:hanging="108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tcBorders>
              <w:top w:color="000000" w:space="0" w:sz="0" w:val="nil"/>
              <w:lef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/>
              <w:jc w:val="both"/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Тематична дискусія з питань практичного застосування законодавства про працю у сфері освіти</w:t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" w:hanging="108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hanging="108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 кредит ЄКТС (26 аудиторних год., 4 год. – 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5"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hanging="108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ind w:left="88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Результати навчання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2"/>
                <w:tab w:val="left" w:pos="425"/>
              </w:tabs>
              <w:ind w:left="142"/>
              <w:jc w:val="both"/>
              <w:rPr>
                <w:i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u w:val="single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7F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застосовувати отримані знання у професійній діяльності. </w:t>
            </w:r>
          </w:p>
          <w:p w:rsidR="00000000" w:rsidDel="00000000" w:rsidP="00000000" w:rsidRDefault="00000000" w:rsidRPr="00000000" w14:paraId="00000080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моніторити законодавчі зміни з відповідних питань. </w:t>
            </w:r>
          </w:p>
          <w:p w:rsidR="00000000" w:rsidDel="00000000" w:rsidP="00000000" w:rsidRDefault="00000000" w:rsidRPr="00000000" w14:paraId="00000081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до генерування нових ідей та креативності у професійній сфері. </w:t>
            </w:r>
          </w:p>
          <w:p w:rsidR="00000000" w:rsidDel="00000000" w:rsidP="00000000" w:rsidRDefault="00000000" w:rsidRPr="00000000" w14:paraId="00000082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Уміння виявляти, ставити та вирішувати актуальні завдання. </w:t>
            </w:r>
          </w:p>
          <w:p w:rsidR="00000000" w:rsidDel="00000000" w:rsidP="00000000" w:rsidRDefault="00000000" w:rsidRPr="00000000" w14:paraId="0000008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діяти етично, соціально відповідально та свідомо. </w:t>
            </w:r>
          </w:p>
          <w:p w:rsidR="00000000" w:rsidDel="00000000" w:rsidP="00000000" w:rsidRDefault="00000000" w:rsidRPr="00000000" w14:paraId="00000084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мотивувати людей та рухатися до спільної мети. </w:t>
            </w:r>
          </w:p>
          <w:p w:rsidR="00000000" w:rsidDel="00000000" w:rsidP="00000000" w:rsidRDefault="00000000" w:rsidRPr="00000000" w14:paraId="0000008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86">
            <w:pPr>
              <w:tabs>
                <w:tab w:val="left" w:pos="142"/>
                <w:tab w:val="left" w:pos="425"/>
              </w:tabs>
              <w:ind w:left="142"/>
              <w:jc w:val="both"/>
              <w:rPr>
                <w:i w:val="1"/>
                <w:sz w:val="28"/>
                <w:szCs w:val="28"/>
                <w:u w:val="single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Спеціальні компетентності: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Розуміння нормативно-правового забезпечення щодо регулювання трудових відносин у сфері освіти та особливостей організації кадрового діловодства у закладі освіти за новими вимогами та стандартами.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практично застосовувати законодавство про працю.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здійснювати ефективну взаємодію з усіма працівниками закладу освіти.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оцінювати межі власної фахової компетентності та підвищувати професійну кваліфікацію.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Здатність до створення кадрової документації за новими вимогами та стандартами.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ind w:left="425" w:hanging="28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Можливість практичного застосування наявних зразків документів</w:t>
            </w:r>
          </w:p>
        </w:tc>
      </w:tr>
    </w:tbl>
    <w:p w:rsidR="00000000" w:rsidDel="00000000" w:rsidP="00000000" w:rsidRDefault="00000000" w:rsidRPr="00000000" w14:paraId="0000009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"/>
        </w:tabs>
        <w:ind w:right="6"/>
        <w:jc w:val="both"/>
        <w:rPr>
          <w:color w:val="000000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1134" w:top="1134" w:left="1701" w:right="567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lang w:bidi="uk-UA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Pr>
      <w:sz w:val="28"/>
      <w:szCs w:val="28"/>
    </w:rPr>
  </w:style>
  <w:style w:type="paragraph" w:styleId="a5">
    <w:name w:val="List Paragraph"/>
    <w:basedOn w:val="a"/>
    <w:uiPriority w:val="99"/>
    <w:qFormat w:val="1"/>
  </w:style>
  <w:style w:type="paragraph" w:styleId="TableParagraph" w:customStyle="1">
    <w:name w:val="Table Paragraph"/>
    <w:basedOn w:val="a"/>
    <w:uiPriority w:val="99"/>
    <w:qFormat w:val="1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Balloon Text"/>
    <w:basedOn w:val="a"/>
    <w:link w:val="a8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a9">
    <w:name w:val="Hyperlink"/>
    <w:basedOn w:val="a0"/>
    <w:uiPriority w:val="99"/>
    <w:unhideWhenUsed w:val="1"/>
    <w:rsid w:val="00382021"/>
    <w:rPr>
      <w:color w:val="0000ff"/>
      <w:u w:val="single"/>
    </w:rPr>
  </w:style>
  <w:style w:type="paragraph" w:styleId="Default" w:customStyle="1">
    <w:name w:val="Default"/>
    <w:uiPriority w:val="99"/>
    <w:rsid w:val="00C775DE"/>
    <w:pPr>
      <w:widowControl w:val="1"/>
      <w:adjustRightInd w:val="0"/>
    </w:pPr>
    <w:rPr>
      <w:rFonts w:eastAsia="Calibri"/>
      <w:color w:val="000000"/>
      <w:sz w:val="24"/>
      <w:szCs w:val="24"/>
      <w:lang w:val="ru-RU"/>
    </w:rPr>
  </w:style>
  <w:style w:type="paragraph" w:styleId="aa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</w:tblPr>
  </w:style>
  <w:style w:type="paragraph" w:styleId="ad">
    <w:name w:val="annotation text"/>
    <w:basedOn w:val="a"/>
    <w:link w:val="ae"/>
    <w:uiPriority w:val="99"/>
    <w:semiHidden w:val="1"/>
    <w:unhideWhenUsed w:val="1"/>
    <w:rPr>
      <w:sz w:val="20"/>
      <w:szCs w:val="20"/>
    </w:rPr>
  </w:style>
  <w:style w:type="character" w:styleId="ae" w:customStyle="1">
    <w:name w:val="Текст примечания Знак"/>
    <w:basedOn w:val="a0"/>
    <w:link w:val="ad"/>
    <w:uiPriority w:val="99"/>
    <w:semiHidden w:val="1"/>
    <w:rPr>
      <w:sz w:val="20"/>
      <w:szCs w:val="20"/>
      <w:lang w:bidi="uk-UA" w:eastAsia="uk-UA"/>
    </w:rPr>
  </w:style>
  <w:style w:type="character" w:styleId="af">
    <w:name w:val="annotation reference"/>
    <w:basedOn w:val="a0"/>
    <w:uiPriority w:val="99"/>
    <w:semiHidden w:val="1"/>
    <w:unhideWhenUsed w:val="1"/>
    <w:rPr>
      <w:sz w:val="16"/>
      <w:szCs w:val="16"/>
    </w:r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yq421wsG0V9DfMjyE0Hil7Og8g==">AMUW2mXq0Wy91B7d5yZEQQWBcFYYQqIviLhyIIM8792U7XgIe6x9F382UJWIIIJJmW2wdv9yEi6e71VaA6PbeWDs5jvb+rK4kHGraNFF1yYE1BLGufI2An0j0QfjlbgEavAjeDyhQUXXspod/l8fcAoCjy3RW7blfw==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2020-01-13T08:11:00Z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