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3" w:line="278.00000000000006" w:lineRule="auto"/>
        <w:ind w:right="38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77"/>
        <w:gridCol w:w="1985"/>
        <w:gridCol w:w="3969"/>
        <w:tblGridChange w:id="0">
          <w:tblGrid>
            <w:gridCol w:w="4077"/>
            <w:gridCol w:w="1985"/>
            <w:gridCol w:w="396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СХВАЛЕНО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Протокол засідання вченої ради КНЗ КОР «КОІПОПК» </w:t>
            </w:r>
          </w:p>
          <w:p w:rsidR="00000000" w:rsidDel="00000000" w:rsidP="00000000" w:rsidRDefault="00000000" w:rsidRPr="00000000" w14:paraId="00000007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від 21 січня 2020 року №1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before="7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0A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Наказ КНЗ КОР «КОІПОПК» </w:t>
            </w:r>
          </w:p>
          <w:p w:rsidR="00000000" w:rsidDel="00000000" w:rsidP="00000000" w:rsidRDefault="00000000" w:rsidRPr="00000000" w14:paraId="0000000B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від 22 січня 2020 року №13/1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b w:val="1"/>
          <w:i w:val="1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6286"/>
        </w:tabs>
        <w:spacing w:line="274" w:lineRule="auto"/>
        <w:ind w:left="622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ОСВІТНЯ ПРОГРАМА</w:t>
      </w:r>
    </w:p>
    <w:p w:rsidR="00000000" w:rsidDel="00000000" w:rsidP="00000000" w:rsidRDefault="00000000" w:rsidRPr="00000000" w14:paraId="00000014">
      <w:pPr>
        <w:spacing w:before="1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ПІДВИЩЕННЯ КВАЛІФІКАЦІЇ ПЕДАГОГІЧНИХ ПРАЦІВНИКІВ ЗАКЛАДІВ ЗАГАЛЬНОЇ СЕРЕДНЬОЇ ОСВІТИ </w:t>
      </w:r>
    </w:p>
    <w:p w:rsidR="00000000" w:rsidDel="00000000" w:rsidP="00000000" w:rsidRDefault="00000000" w:rsidRPr="00000000" w14:paraId="00000015">
      <w:pPr>
        <w:spacing w:before="1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ФОРМУВАЛЬНЕ ОЦІНЮВАННЯ У ВИВЧЕННІ СУСПІЛЬНО-ГУМАНІТАРНИХ ПРЕДМЕТІВ»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ff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65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65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Біла Церква – 2020</w:t>
      </w:r>
    </w:p>
    <w:p w:rsidR="00000000" w:rsidDel="00000000" w:rsidP="00000000" w:rsidRDefault="00000000" w:rsidRPr="00000000" w14:paraId="00000025">
      <w:pPr>
        <w:jc w:val="center"/>
        <w:rPr/>
        <w:sectPr>
          <w:pgSz w:h="16840" w:w="11910"/>
          <w:pgMar w:bottom="1134" w:top="1134" w:left="1701" w:right="851" w:header="709" w:footer="709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13.0" w:type="dxa"/>
        <w:jc w:val="left"/>
        <w:tblInd w:w="203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60"/>
        <w:gridCol w:w="513"/>
        <w:gridCol w:w="5670"/>
        <w:gridCol w:w="570"/>
        <w:tblGridChange w:id="0">
          <w:tblGrid>
            <w:gridCol w:w="3260"/>
            <w:gridCol w:w="513"/>
            <w:gridCol w:w="5670"/>
            <w:gridCol w:w="570"/>
          </w:tblGrid>
        </w:tblGridChange>
      </w:tblGrid>
      <w:tr>
        <w:trPr>
          <w:trHeight w:val="554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9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Розробник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07" w:right="144" w:firstLine="34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Боярчук О.І.,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завідувачка відділу виховної роботи та позашкільної освіти, старша викладачка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07" w:right="144" w:firstLine="34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Микитюк Л.В.,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методистка відділу виховної роботи та позашкільної освіти, викладачка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Найменування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7" w:hanging="108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Освітня п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рограма підвищення кваліфікації вчителів української мови та літератури, іноземної мови, зарубіжної літератури, історії та правознавства, громадянської освіти «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Ф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ормувальн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е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оцінювання у процесі викладання суспільно-гуманітарних предметів»</w:t>
            </w:r>
          </w:p>
        </w:tc>
      </w:tr>
      <w:tr>
        <w:trPr>
          <w:trHeight w:val="1046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Мета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7" w:right="96" w:hanging="108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Посилити спроможність вчителів формувати й оцінювати громадянські компетентності у процесі вивчення суспільно-гуманітарних  предметів (за підходами та матеріалами Ради Європи).</w:t>
            </w:r>
          </w:p>
        </w:tc>
      </w:tr>
      <w:tr>
        <w:trPr>
          <w:trHeight w:val="634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Напрям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7" w:right="96" w:hanging="108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Система оцінювання здобувачів освіти для формування компетентностей</w:t>
            </w:r>
          </w:p>
        </w:tc>
      </w:tr>
      <w:tr>
        <w:trPr>
          <w:trHeight w:val="552" w:hRule="atLeast"/>
        </w:trPr>
        <w:tc>
          <w:tcPr>
            <w:vMerge w:val="restart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Зміст програми</w:t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з/п</w:t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0" w:lineRule="auto"/>
              <w:ind w:left="1958" w:right="1954" w:hanging="108.00000000000011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Тема заняття</w:t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0" w:lineRule="auto"/>
              <w:ind w:left="109" w:right="106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год</w:t>
            </w:r>
          </w:p>
        </w:tc>
      </w:tr>
      <w:tr>
        <w:trPr>
          <w:trHeight w:val="23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360" w:hanging="360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ind w:left="108" w:firstLine="33.00000000000001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Вступ до теми</w:t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" w:right="108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ind w:left="108" w:right="142" w:firstLine="33.0000000000000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Реформування системи освіти України в історичному та філософському контекстах 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ind w:left="108" w:right="142" w:firstLine="33.0000000000000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Професійний розвиток педагогічних працівників в умовах Нової української школи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ind w:left="14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Модель компетентностей для культури демократії: наскрізний підхід 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spacing w:line="261" w:lineRule="auto"/>
              <w:ind w:left="108" w:right="142" w:firstLine="33.0000000000000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Формувальне оцінювання як інструмент розвитку громадянської компетентності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33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spacing w:line="261" w:lineRule="auto"/>
              <w:ind w:left="108" w:right="142" w:firstLine="33.0000000000000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Принципи і підходи до оцінювання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spacing w:line="261" w:lineRule="auto"/>
              <w:ind w:left="108" w:right="142" w:firstLine="33.00000000000001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Застосування технік формувального оцінювання на уроках суспільно-гуманітарних предметів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7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spacing w:line="261" w:lineRule="auto"/>
              <w:ind w:left="108" w:right="142" w:firstLine="33.0000000000000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Моделювання стратегій оцінювання 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trHeight w:val="275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ind w:left="108" w:firstLine="33.0000000000000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Тематична дискусія з питань застосування формувального оцінювання в процесі вивчення суспільно-гуманітарних  предметів.</w:t>
            </w:r>
          </w:p>
        </w:tc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3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7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Обсяг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07" w:hanging="108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кредит ЄКТС / 30 годин  (26 аудиторних годин, 4 години – самостійна робота)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Форма підвищення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кваліфікації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7" w:hanging="108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Очна форма підвищення кваліфікації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Результати навчання  </w:t>
            </w:r>
          </w:p>
          <w:p w:rsidR="00000000" w:rsidDel="00000000" w:rsidP="00000000" w:rsidRDefault="00000000" w:rsidRPr="00000000" w14:paraId="0000006B">
            <w:pPr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Загальні компетентності:</w:t>
            </w:r>
          </w:p>
          <w:p w:rsidR="00000000" w:rsidDel="00000000" w:rsidP="00000000" w:rsidRDefault="00000000" w:rsidRPr="00000000" w14:paraId="0000006E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застосовувати отримані знання в професійній діяльності. </w:t>
            </w:r>
          </w:p>
          <w:p w:rsidR="00000000" w:rsidDel="00000000" w:rsidP="00000000" w:rsidRDefault="00000000" w:rsidRPr="00000000" w14:paraId="0000006F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Уміння виявляти, ставити та вирішувати проблеми. </w:t>
            </w:r>
          </w:p>
          <w:p w:rsidR="00000000" w:rsidDel="00000000" w:rsidP="00000000" w:rsidRDefault="00000000" w:rsidRPr="00000000" w14:paraId="00000070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навчатися упродовж життя.</w:t>
            </w:r>
          </w:p>
          <w:p w:rsidR="00000000" w:rsidDel="00000000" w:rsidP="00000000" w:rsidRDefault="00000000" w:rsidRPr="00000000" w14:paraId="00000071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до створення безпечних, психологічно комфортних та толерантних умов освітнього процесу.</w:t>
            </w:r>
          </w:p>
          <w:p w:rsidR="00000000" w:rsidDel="00000000" w:rsidP="00000000" w:rsidRDefault="00000000" w:rsidRPr="00000000" w14:paraId="00000072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дотримуватись вимог нормативно-правових документів.</w:t>
            </w:r>
          </w:p>
          <w:p w:rsidR="00000000" w:rsidDel="00000000" w:rsidP="00000000" w:rsidRDefault="00000000" w:rsidRPr="00000000" w14:paraId="00000073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до аналізу власної професійної діяльності щодо реалізації поставлених цілей та завдань.</w:t>
            </w:r>
          </w:p>
          <w:p w:rsidR="00000000" w:rsidDel="00000000" w:rsidP="00000000" w:rsidRDefault="00000000" w:rsidRPr="00000000" w14:paraId="00000074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до визначення сильних і слабких сторін власної педагогічної діяльності.</w:t>
            </w:r>
          </w:p>
          <w:p w:rsidR="00000000" w:rsidDel="00000000" w:rsidP="00000000" w:rsidRDefault="00000000" w:rsidRPr="00000000" w14:paraId="00000075">
            <w:pPr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Спеціальні (фахові, предметні) компетентності: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0"/>
              </w:tabs>
              <w:ind w:left="360" w:right="286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Готовність до використання/поширення інновацій в педагогічній науці і практиці, перспективного педагогічного досвіду.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0"/>
              </w:tabs>
              <w:ind w:left="360" w:right="286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до здійснення формувального та підсумкового оцінювання навчальних досягнень учнів.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0"/>
              </w:tabs>
              <w:ind w:left="360" w:right="286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планувати роботу вчителя, розробляти календарно-тематичне планування динаміки розгортання змісту освітніх галузей, план виховної роботи, планувати професійний саморозвиток вчителя.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0"/>
              </w:tabs>
              <w:ind w:left="360" w:right="286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здійснювати ефективну взаємодію з усіма учасниками освітнього процесу.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0"/>
              </w:tabs>
              <w:ind w:left="360" w:right="286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до здійснення педагогічної діагностики учня.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0"/>
              </w:tabs>
              <w:ind w:left="360" w:right="286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до відстеження динаміки поступу особистості дитини в освітньому процесі та здійснення підтримки її розвитку.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0"/>
              </w:tabs>
              <w:ind w:left="360" w:right="286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добирати доцільні методи, засоби й форми навчання, відповідно до особливостей учнів класу..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0"/>
              </w:tabs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приймати фахові рішення у складних і непередбачуваних умовах, адаптуватися до нових ситуацій професійної діяльності.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0"/>
              </w:tabs>
              <w:ind w:left="360" w:hanging="360"/>
              <w:jc w:val="both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оцінювати межі власної фахової компетентності та підвищувати професійну кваліфікацію.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pos="2160"/>
        </w:tabs>
        <w:jc w:val="center"/>
        <w:rPr>
          <w:b w:val="1"/>
          <w:sz w:val="28"/>
          <w:szCs w:val="28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sectPr>
      <w:type w:val="nextPage"/>
      <w:pgSz w:h="16840" w:w="11910"/>
      <w:pgMar w:bottom="280" w:top="851" w:left="1080" w:right="853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sid w:val="009F0B19"/>
    <w:rPr>
      <w:lang w:bidi="uk-UA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rsid w:val="009F0B19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ody Text"/>
    <w:basedOn w:val="a"/>
    <w:uiPriority w:val="1"/>
    <w:qFormat w:val="1"/>
    <w:rsid w:val="009F0B19"/>
    <w:rPr>
      <w:sz w:val="28"/>
      <w:szCs w:val="28"/>
    </w:rPr>
  </w:style>
  <w:style w:type="paragraph" w:styleId="a5">
    <w:name w:val="List Paragraph"/>
    <w:basedOn w:val="a"/>
    <w:uiPriority w:val="34"/>
    <w:qFormat w:val="1"/>
    <w:rsid w:val="009F0B19"/>
  </w:style>
  <w:style w:type="paragraph" w:styleId="TableParagraph" w:customStyle="1">
    <w:name w:val="Table Paragraph"/>
    <w:basedOn w:val="a"/>
    <w:uiPriority w:val="99"/>
    <w:qFormat w:val="1"/>
    <w:rsid w:val="009F0B19"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7">
    <w:name w:val="Balloon Text"/>
    <w:basedOn w:val="a"/>
    <w:link w:val="a8"/>
    <w:uiPriority w:val="99"/>
    <w:semiHidden w:val="1"/>
    <w:unhideWhenUsed w:val="1"/>
    <w:rsid w:val="00E5090C"/>
    <w:rPr>
      <w:rFonts w:ascii="Segoe UI" w:cs="Segoe UI" w:hAnsi="Segoe UI"/>
      <w:sz w:val="18"/>
      <w:szCs w:val="18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E5090C"/>
    <w:rPr>
      <w:rFonts w:ascii="Segoe UI" w:cs="Segoe UI" w:eastAsia="Times New Roman" w:hAnsi="Segoe UI"/>
      <w:sz w:val="18"/>
      <w:szCs w:val="18"/>
      <w:lang w:bidi="uk-UA" w:eastAsia="uk-UA" w:val="uk-UA"/>
    </w:rPr>
  </w:style>
  <w:style w:type="character" w:styleId="Bodytext" w:customStyle="1">
    <w:name w:val="Body text_"/>
    <w:basedOn w:val="a0"/>
    <w:link w:val="10"/>
    <w:uiPriority w:val="99"/>
    <w:locked w:val="1"/>
    <w:rsid w:val="00B555D3"/>
    <w:rPr>
      <w:rFonts w:cs="Times New Roman"/>
      <w:sz w:val="27"/>
      <w:szCs w:val="27"/>
      <w:shd w:color="auto" w:fill="ffffff" w:val="clear"/>
    </w:rPr>
  </w:style>
  <w:style w:type="paragraph" w:styleId="10" w:customStyle="1">
    <w:name w:val="Основной текст1"/>
    <w:basedOn w:val="a"/>
    <w:link w:val="Bodytext"/>
    <w:uiPriority w:val="99"/>
    <w:rsid w:val="00B555D3"/>
    <w:pPr>
      <w:widowControl w:val="1"/>
      <w:shd w:color="auto" w:fill="ffffff" w:val="clear"/>
      <w:spacing w:before="600" w:line="418" w:lineRule="exact"/>
      <w:ind w:firstLine="540"/>
      <w:jc w:val="both"/>
    </w:pPr>
    <w:rPr>
      <w:rFonts w:asciiTheme="minorHAnsi" w:eastAsiaTheme="minorHAnsi" w:hAnsiTheme="minorHAnsi"/>
      <w:sz w:val="27"/>
      <w:szCs w:val="27"/>
      <w:lang w:bidi="ar-SA" w:eastAsia="en-US" w:val="en-US"/>
    </w:rPr>
  </w:style>
  <w:style w:type="paragraph" w:styleId="msonormalcxspmiddle" w:customStyle="1">
    <w:name w:val="msonormalcxspmiddle"/>
    <w:basedOn w:val="a"/>
    <w:rsid w:val="00B555D3"/>
    <w:pPr>
      <w:widowControl w:val="1"/>
      <w:spacing w:after="100" w:afterAutospacing="1" w:before="100" w:beforeAutospacing="1"/>
    </w:pPr>
    <w:rPr>
      <w:sz w:val="24"/>
      <w:szCs w:val="24"/>
      <w:lang w:bidi="ar-SA" w:eastAsia="ru-RU" w:val="ru-RU"/>
    </w:rPr>
  </w:style>
  <w:style w:type="character" w:styleId="a9" w:customStyle="1">
    <w:name w:val="Основной текст_"/>
    <w:link w:val="50"/>
    <w:locked w:val="1"/>
    <w:rsid w:val="00B555D3"/>
    <w:rPr>
      <w:sz w:val="31"/>
      <w:szCs w:val="31"/>
      <w:shd w:color="auto" w:fill="ffffff" w:val="clear"/>
    </w:rPr>
  </w:style>
  <w:style w:type="paragraph" w:styleId="50" w:customStyle="1">
    <w:name w:val="Основной текст5"/>
    <w:basedOn w:val="a"/>
    <w:link w:val="a9"/>
    <w:rsid w:val="00B555D3"/>
    <w:pPr>
      <w:shd w:color="auto" w:fill="ffffff" w:val="clear"/>
      <w:spacing w:after="120" w:before="5460" w:line="0" w:lineRule="atLeast"/>
      <w:ind w:hanging="2060"/>
      <w:jc w:val="center"/>
    </w:pPr>
    <w:rPr>
      <w:rFonts w:asciiTheme="minorHAnsi" w:cstheme="minorBidi" w:eastAsiaTheme="minorHAnsi" w:hAnsiTheme="minorHAnsi"/>
      <w:sz w:val="31"/>
      <w:szCs w:val="31"/>
      <w:lang w:bidi="ar-SA" w:eastAsia="en-US" w:val="en-US"/>
    </w:rPr>
  </w:style>
  <w:style w:type="character" w:styleId="20" w:customStyle="1">
    <w:name w:val="Основной текст (2) + Курсив"/>
    <w:basedOn w:val="a0"/>
    <w:rsid w:val="00B555D3"/>
    <w:rPr>
      <w:rFonts w:ascii="Times New Roman" w:cs="Times New Roman" w:eastAsia="Times New Roman" w:hAnsi="Times New Roman" w:hint="default"/>
      <w:b w:val="0"/>
      <w:bCs w:val="0"/>
      <w:i w:val="1"/>
      <w:iCs w:val="1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bidi="uk-UA" w:eastAsia="uk-UA" w:val="uk-UA"/>
    </w:rPr>
  </w:style>
  <w:style w:type="character" w:styleId="21" w:customStyle="1">
    <w:name w:val="Основной текст (2)"/>
    <w:basedOn w:val="a0"/>
    <w:rsid w:val="00B555D3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bidi="uk-UA" w:eastAsia="uk-UA" w:val="uk-UA"/>
    </w:rPr>
  </w:style>
  <w:style w:type="character" w:styleId="215pt" w:customStyle="1">
    <w:name w:val="Основной текст (2) + 15 pt"/>
    <w:aliases w:val="Полужирный,Курсив"/>
    <w:basedOn w:val="a0"/>
    <w:rsid w:val="00B555D3"/>
    <w:rPr>
      <w:rFonts w:ascii="Times New Roman" w:cs="Times New Roman" w:eastAsia="Times New Roman" w:hAnsi="Times New Roman" w:hint="default"/>
      <w:b w:val="1"/>
      <w:bCs w:val="1"/>
      <w:i w:val="1"/>
      <w:iCs w:val="1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bidi="uk-UA" w:eastAsia="uk-UA" w:val="uk-UA"/>
    </w:rPr>
  </w:style>
  <w:style w:type="character" w:styleId="aa">
    <w:name w:val="Hyperlink"/>
    <w:basedOn w:val="a0"/>
    <w:uiPriority w:val="99"/>
    <w:unhideWhenUsed w:val="1"/>
    <w:rsid w:val="0098410A"/>
    <w:rPr>
      <w:color w:val="0000ff"/>
      <w:u w:val="single"/>
    </w:rPr>
  </w:style>
  <w:style w:type="character" w:styleId="ab">
    <w:name w:val="Strong"/>
    <w:basedOn w:val="a0"/>
    <w:uiPriority w:val="22"/>
    <w:qFormat w:val="1"/>
    <w:rsid w:val="0098410A"/>
    <w:rPr>
      <w:b w:val="1"/>
      <w:bCs w:val="1"/>
    </w:rPr>
  </w:style>
  <w:style w:type="paragraph" w:styleId="11" w:customStyle="1">
    <w:name w:val="Абзац списка1"/>
    <w:basedOn w:val="a"/>
    <w:rsid w:val="0098410A"/>
    <w:pPr>
      <w:widowControl w:val="1"/>
      <w:ind w:left="720" w:firstLine="709"/>
      <w:contextualSpacing w:val="1"/>
      <w:jc w:val="both"/>
    </w:pPr>
    <w:rPr>
      <w:rFonts w:eastAsia="Calibri"/>
      <w:sz w:val="28"/>
      <w:szCs w:val="24"/>
      <w:lang w:bidi="ar-SA" w:eastAsia="ru-RU" w:val="ru-RU"/>
    </w:rPr>
  </w:style>
  <w:style w:type="paragraph" w:styleId="western" w:customStyle="1">
    <w:name w:val="western"/>
    <w:basedOn w:val="a"/>
    <w:uiPriority w:val="99"/>
    <w:rsid w:val="0098410A"/>
    <w:pPr>
      <w:widowControl w:val="1"/>
      <w:spacing w:after="100" w:afterAutospacing="1" w:before="100" w:beforeAutospacing="1"/>
    </w:pPr>
    <w:rPr>
      <w:rFonts w:eastAsia="Calibri"/>
      <w:sz w:val="24"/>
      <w:szCs w:val="24"/>
      <w:lang w:bidi="ar-SA"/>
    </w:rPr>
  </w:style>
  <w:style w:type="paragraph" w:styleId="Default" w:customStyle="1">
    <w:name w:val="Default"/>
    <w:rsid w:val="00BA79F6"/>
    <w:pPr>
      <w:widowControl w:val="1"/>
      <w:adjustRightInd w:val="0"/>
    </w:pPr>
    <w:rPr>
      <w:rFonts w:eastAsia="Calibri"/>
      <w:color w:val="000000"/>
      <w:sz w:val="24"/>
      <w:szCs w:val="24"/>
      <w:lang w:val="ru-RU"/>
    </w:rPr>
  </w:style>
  <w:style w:type="paragraph" w:styleId="ac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3IPP7FmKdU8l1O+0NFL+oGyl4A==">AMUW2mWEIzmABVddb0dfr+JTWmlr0VDjgQcCC2v4SJBzAjIdl4gtF/OAQXLfVDUVHhy536jqz0+6VAMZO+vbhLAPLcbdjLVI3vVcXHXt1S9RO7ASQ/M+CLYFz0iAU8YS/NHXKkBgY5+O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2020-03-20T10:05:00Z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