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 ПОЧАТКОВИХ КЛАСІВ, ВИХОВАТЕЛІВ ГРУП ПОДОВЖЕНОГО ДНЯ  ЗАКЛАДІВ ЗАГАЛЬНОЇ СЕРЕДНЬОЇ ОСВІТИ З ТЕМИ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«ФОРМУВАННЯ КОМУНІКАТИВНОЇ КОМПЕТЕНТНОСТІ МОЛОДШОГО ШКОЛЯРА» 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(розробники: Ткаченко Л.П., Ткаченко А.О., Романюк О.В.)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7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540"/>
        <w:gridCol w:w="6930"/>
        <w:gridCol w:w="479"/>
        <w:tblGridChange w:id="0">
          <w:tblGrid>
            <w:gridCol w:w="1920"/>
            <w:gridCol w:w="540"/>
            <w:gridCol w:w="6930"/>
            <w:gridCol w:w="479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Розробники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Ткаченко Л.П.,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Ткаченко А.О., методист відділу початкової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44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Романюк О.В., методист відділу початкової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34"/>
              <w:jc w:val="both"/>
              <w:rPr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рограма підвищення кваліфікації вчителів початкових класів, вихователів груп подовженого дня закладів загальної середньої освіти «Формування комунікативної компетентності молодшого школяра»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6" w:hanging="108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науковий, методичний та практичний рівні професійної компетентності вчителів початкових класів та вихователів груп подовженого дня щодо формування комунікативної компетентності молодшого школяра в умовах реформування системи початкової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6" w:firstLine="34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Розвиток професійних компетентностей; використання інформаційно-комунікативних та цифрових технологій в освітньому процесі.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Реформування системи освіти України в історичному та філософському контекстах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Національна мовна політика в Україні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Формування основ комунікативної компетентності молодшого школяра у процесі роботи з дитячою книжкою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Навчальні екскурсії в природу як основа розвитку комунікативної компетентності молодшого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Формування особистості молодшого школяра засобами різних видів мовленнєвої діяльності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spacing w:line="256" w:lineRule="auto"/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Континуум інтегрованого навчання: тематичний та діяльнісний підходи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Сторітелінг як спосіб розвитку креативності молодшого  школяра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Медіаграмотність та критичне мислення в початковій школі: факти і фейки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/>
              <w:jc w:val="both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питання формування читацької компетентності у школі І ступеня 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 кредит ЄКТС (26 – аудиторні години,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Результати навчання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Знання вікових та індивідуальних особливостей динаміки становлення пізнавальних процесів молодших школярів.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Знання основних сучасних джерел інформації, у тому числі цифрових.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визначати комунікативно спрямовані цілі уроку відповідно до теми та потреб учнів.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формувати основи комунікативної компетентності молодшого школяра у процесі роботи з дитячою книжкою.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форми й засоби навчання та забезпечення взаємодії під час освітнього процесу.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використовувати сучасний медіапростір для формування комунікативної компетентності молодшого школяра. </w:t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120"/>
          <w:szCs w:val="120"/>
          <w:highlight w:val="red"/>
        </w:rPr>
      </w:pPr>
      <w:r w:rsidDel="00000000" w:rsidR="00000000" w:rsidRPr="00000000">
        <w:rPr>
          <w:sz w:val="120"/>
          <w:szCs w:val="120"/>
          <w:highlight w:val="red"/>
          <w:rtl w:val="0"/>
        </w:rPr>
        <w:t xml:space="preserve"> </w:t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olLMnWb60cybd1F7VXyNB34ZNw==">AMUW2mXpOWd3HfbEm0lfYCbCbBJw5xCJ7Eiey/lYuhaW5AeX8DSTk46SRR1bQ3wtOm8R/Qeawfeus4tfWyEHhABos5z84/udMI9anefDYynpMMLVOLQZvsRzuGBC4VA9d1dUGlkk2+36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