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3" w:line="276" w:lineRule="auto"/>
        <w:ind w:right="38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7"/>
        <w:gridCol w:w="1985"/>
        <w:gridCol w:w="3969"/>
        <w:tblGridChange w:id="0">
          <w:tblGrid>
            <w:gridCol w:w="4077"/>
            <w:gridCol w:w="1985"/>
            <w:gridCol w:w="396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СХВАЛЕНО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Протокол засідання вченої ради КНЗ КОР «КОІПОПК»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від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січня 2020 року №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Наказ КНЗ КОР «КОІПОПК»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від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січня 2020 року №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30/1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6286"/>
        </w:tabs>
        <w:spacing w:line="274" w:lineRule="auto"/>
        <w:ind w:left="622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ПРОГРАМА</w:t>
      </w:r>
    </w:p>
    <w:p w:rsidR="00000000" w:rsidDel="00000000" w:rsidP="00000000" w:rsidRDefault="00000000" w:rsidRPr="00000000" w14:paraId="00000014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ПІДВИЩЕННЯ ФАХОВОЇ КВАЛІФІКАЦІЇ </w:t>
      </w:r>
    </w:p>
    <w:p w:rsidR="00000000" w:rsidDel="00000000" w:rsidP="00000000" w:rsidRDefault="00000000" w:rsidRPr="00000000" w14:paraId="00000015">
      <w:pPr>
        <w:spacing w:before="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УЧИТЕЛІВ УКРАЇНСЬКОЇ МОВИ І ЛІТЕРАТУРИ З ПРОБЛЕМИ «РОЗВИТОК ПРОФЕСІЙНОЇ КОМПЕТЕНТНОСТІ УЧИТЕЛІВ УКРАЇНСЬКОЇ МОВИ І ЛІТЕРАТУРИ В УМОВАХ НОВОЇ УКРАЇНСЬКОЇ ШКОЛИ»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Біла Церква – 2020</w:t>
      </w:r>
    </w:p>
    <w:p w:rsidR="00000000" w:rsidDel="00000000" w:rsidP="00000000" w:rsidRDefault="00000000" w:rsidRPr="00000000" w14:paraId="0000002A">
      <w:pPr>
        <w:widowControl w:val="1"/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0"/>
        <w:gridCol w:w="513"/>
        <w:gridCol w:w="5529"/>
        <w:gridCol w:w="763"/>
        <w:tblGridChange w:id="0">
          <w:tblGrid>
            <w:gridCol w:w="3260"/>
            <w:gridCol w:w="513"/>
            <w:gridCol w:w="5529"/>
            <w:gridCol w:w="763"/>
          </w:tblGrid>
        </w:tblGridChange>
      </w:tblGrid>
      <w:tr>
        <w:trPr>
          <w:trHeight w:val="554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Розробники програми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42" w:right="142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Поліщук О.М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., завідувач відділу української мови і літератури та зарубіжної літературиКомунального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42" w:right="142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Лященко О.Б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., методист відділу української мови і літератури та зарубіжної літературиКомунального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>
        <w:trPr>
          <w:trHeight w:val="551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Найменування програми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107" w:right="142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Програма підвищення кваліфікації учителів української мови і літературиз теми «Розвиток професійної компетентності учителів української мови і літератури в умовах Нової української школи»</w:t>
            </w:r>
          </w:p>
        </w:tc>
      </w:tr>
      <w:tr>
        <w:trPr>
          <w:trHeight w:val="1046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Мета програми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2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Підвищити методичний та практичний рівні професійної компетентності вчителів української мови і літератури закладів загальної середньої освіти відповідно до основних напрямів державної освітньої політики та сучасних підходів до вивчення філологічних дисциплін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4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Напрям програми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hd w:fill="ffffff" w:val="clear"/>
              <w:ind w:left="88" w:right="142"/>
              <w:jc w:val="both"/>
              <w:rPr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Формування у здобувачів освіти спільних для ключових компетентностей вмінь,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визначених частиною першою статті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12 Закону України “Про освіту”</w:t>
            </w:r>
          </w:p>
        </w:tc>
      </w:tr>
      <w:tr>
        <w:trPr>
          <w:trHeight w:val="552" w:hRule="atLeast"/>
        </w:trPr>
        <w:tc>
          <w:tcPr>
            <w:vMerge w:val="restart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Зміст програми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109" w:right="106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Год.</w:t>
            </w:r>
          </w:p>
        </w:tc>
      </w:tr>
      <w:tr>
        <w:trPr>
          <w:trHeight w:val="302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357" w:right="0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5" w:right="88" w:hanging="108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Вступ до теми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106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595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57" w:right="0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5" w:right="88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Українознавчий і ціннісний вимір Нової української школи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6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281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57" w:right="0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5" w:right="88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Комунікативна компетентність учителя-словесника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6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57" w:right="0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5" w:right="88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Ключові уміння ХХІ століття як запорука розвитку професійної компетентності педагога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3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57" w:right="0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76" w:lineRule="auto"/>
              <w:ind w:left="55" w:right="88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Формування ІКТ компетентностей педагогів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57" w:right="0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5" w:right="88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Формування медіа та інформаційної грамотності учителя-словесника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57" w:right="0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5" w:right="88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Медіаграмотність як необхідна складова професійного розвитку сучасного педагога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trHeight w:val="551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57" w:right="0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55" w:right="88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Інтелект-карти як інструмент ефективної роботи з інформацією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357" w:right="0" w:hanging="357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5" w:right="88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Тематична дискусіяз питань розвитку професійної компетентності педагогів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Обсяг програми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7" w:right="0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кредит ЄКТС (26 годин – аудиторні, 4 години – самостійна робота)</w:t>
            </w:r>
          </w:p>
        </w:tc>
      </w:tr>
      <w:tr>
        <w:trPr>
          <w:trHeight w:val="551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підвищення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кваліфікації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107" w:right="0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Інституційна (денна)</w:t>
            </w:r>
          </w:p>
        </w:tc>
      </w:tr>
      <w:tr>
        <w:trPr>
          <w:trHeight w:val="551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Результати навчання  </w:t>
            </w:r>
          </w:p>
          <w:p w:rsidR="00000000" w:rsidDel="00000000" w:rsidP="00000000" w:rsidRDefault="00000000" w:rsidRPr="00000000" w14:paraId="0000006F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Загальнікомпетентності: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застосовувати отримані знання в професійній діяльності.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до генерування нових ідей та креативності у професійній сфері.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Уміння виявляти, ставити та вирішувати проблеми.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мотивувати людей та рухатися до спільної мети.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навчатися упродовж життя.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Спеціальні (фахові, предметні) компетентності: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активізувати новаторську і пошукову діяльність та потенціал емоційного інтелекту особистості в умовах неформальної та інформальної освіти.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здійснювати ефективну взаємодію з усіма учасниками освітнього процесу.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ефективно взаємодіяти з колегами в моно- та мультидисциплінарних командах.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приймати фахові рішення у складних і непередбачуваних умовах, адаптуватися до нових ситуацій професійної діяльності.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оцінювати межі власної фахової компетентності та підвищувати професійну кваліфікацію.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дотримуватися у фаховій діяльності норм професійної етики та керуватися загальнолюдськими цінностями.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0" w:right="0" w:hanging="23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Здатність розробляти та впроваджувати інноваційні методи психологічної допомоги та соціального захисту клієнтам, що опинилися у складних життєвих ситуаціях.</w:t>
            </w:r>
          </w:p>
        </w:tc>
      </w:tr>
    </w:tbl>
    <w:p w:rsidR="00000000" w:rsidDel="00000000" w:rsidP="00000000" w:rsidRDefault="00000000" w:rsidRPr="00000000" w14:paraId="0000008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284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Питання для самостійної роботи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Особистість учнів і особистість вчителя як цінність Нової української школи.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Реалізація компетентнісного підходу на уроках української мови і літератури.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Формування ключових компетентностей на уроках української мови і літератури.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Невербальні засоби спілкування, їх особливості та значення в комунікації.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Парадигма медіаосвіти як іноваційної технології навчання.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Переваги використання хмарних технологій, перспективи їх застосування у освітньому процесі.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Характеристика основних сервісів Googlе.</w:t>
      </w:r>
    </w:p>
    <w:p w:rsidR="00000000" w:rsidDel="00000000" w:rsidP="00000000" w:rsidRDefault="00000000" w:rsidRPr="00000000" w14:paraId="0000008B">
      <w:pPr>
        <w:ind w:left="284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284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Список використаних джерел </w:t>
      </w:r>
    </w:p>
    <w:p w:rsidR="00000000" w:rsidDel="00000000" w:rsidP="00000000" w:rsidRDefault="00000000" w:rsidRPr="00000000" w14:paraId="0000008D">
      <w:pPr>
        <w:ind w:firstLine="284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1"/>
        <w:numPr>
          <w:ilvl w:val="0"/>
          <w:numId w:val="5"/>
        </w:numPr>
        <w:tabs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Закон України "Про освіту" [Електронний ресурс]. – 2017. – Режим доступу до ресурсу: </w:t>
      </w:r>
      <w:r w:rsidDel="00000000" w:rsidR="00000000" w:rsidRPr="00000000">
        <w:rPr>
          <w:color w:val="0000ff"/>
          <w:sz w:val="28"/>
          <w:szCs w:val="28"/>
          <w:u w:val="single"/>
          <w:rtl w:val="0"/>
        </w:rPr>
        <w:t xml:space="preserve">https://zakon.rada.gov.ua/laws/show/2145-19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1"/>
        <w:numPr>
          <w:ilvl w:val="0"/>
          <w:numId w:val="5"/>
        </w:numPr>
        <w:tabs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Нова українська школа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[Електронний ресурс]. – 2017. – Режим доступу до ресурсу: </w:t>
      </w:r>
      <w:hyperlink r:id="rId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https://www.kmu.gov.ua/storage/app/media/reforms/ukrainska-shkola-compressed.pdf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1"/>
        <w:numPr>
          <w:ilvl w:val="0"/>
          <w:numId w:val="5"/>
        </w:numPr>
        <w:tabs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Українська мова. 5–11 класи : навчальні програми, методичні рекомендації про викладання навчального предмета у закладах загальної середньої освіти у 2019/2020 навчальному році, вимоги до оцінювання / Укладач О. Ю. Котусенко. – Харків : Вид-во «Ранок», 2019. – 192 с.</w:t>
      </w:r>
    </w:p>
    <w:p w:rsidR="00000000" w:rsidDel="00000000" w:rsidP="00000000" w:rsidRDefault="00000000" w:rsidRPr="00000000" w14:paraId="00000091">
      <w:pPr>
        <w:widowControl w:val="1"/>
        <w:numPr>
          <w:ilvl w:val="0"/>
          <w:numId w:val="5"/>
        </w:numPr>
        <w:tabs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Українська література. 5–11 класи : навчальні програми, методичні рекомендації про викладання навчального предмета у закладах загальної середньої освіти у 2019/2020 навчальному році, вимоги до оцінювання / Укладач О. Ю. Котусенко. – Харків : Вид-во «Ранок», 2019. – 192 с.</w:t>
      </w:r>
    </w:p>
    <w:p w:rsidR="00000000" w:rsidDel="00000000" w:rsidP="00000000" w:rsidRDefault="00000000" w:rsidRPr="00000000" w14:paraId="00000092">
      <w:pPr>
        <w:widowControl w:val="1"/>
        <w:numPr>
          <w:ilvl w:val="0"/>
          <w:numId w:val="5"/>
        </w:numPr>
        <w:tabs>
          <w:tab w:val="left" w:pos="426"/>
          <w:tab w:val="left" w:pos="993"/>
        </w:tabs>
        <w:ind w:left="0" w:firstLine="567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Голуб Н. Ідеал сучасного вчителя: мовно-риторичний аспект [Електронний ресурс] / Ніна Борисівна Голуб: Режим доступу: </w:t>
      </w:r>
      <w:r w:rsidDel="00000000" w:rsidR="00000000" w:rsidRPr="00000000">
        <w:rPr>
          <w:color w:val="0000ff"/>
          <w:sz w:val="28"/>
          <w:szCs w:val="28"/>
          <w:u w:val="single"/>
          <w:rtl w:val="0"/>
        </w:rPr>
        <w:t xml:space="preserve">http: //studentam.net.ua/content/ view/8903/95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1"/>
        <w:numPr>
          <w:ilvl w:val="0"/>
          <w:numId w:val="5"/>
        </w:numPr>
        <w:tabs>
          <w:tab w:val="left" w:pos="426"/>
          <w:tab w:val="left" w:pos="993"/>
        </w:tabs>
        <w:ind w:left="0" w:firstLine="567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Радевич-Винницький Я. Етикет і культура спілкування : навчальний посібник / Я. К. Радевич-Винницький. – Львів : СПОЛОМ, 2001. – 224 с. </w:t>
      </w:r>
    </w:p>
    <w:p w:rsidR="00000000" w:rsidDel="00000000" w:rsidP="00000000" w:rsidRDefault="00000000" w:rsidRPr="00000000" w14:paraId="00000094">
      <w:pPr>
        <w:widowControl w:val="1"/>
        <w:numPr>
          <w:ilvl w:val="0"/>
          <w:numId w:val="5"/>
        </w:numPr>
        <w:tabs>
          <w:tab w:val="left" w:pos="426"/>
          <w:tab w:val="left" w:pos="993"/>
        </w:tabs>
        <w:ind w:left="0" w:firstLine="567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Словник-довідник з культури української мови [Електронний ресурс] / [Д. Гринчишин, А. Капелюшний, О. Сербенська, 3. Терлак]. – К. : Знання, 2006. – Режим доступу : </w:t>
      </w:r>
      <w:hyperlink r:id="rId8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http://school3z.at.ua/load/pidruchniki_gdz_literatura</w:t>
        </w:r>
      </w:hyperlink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95">
      <w:pPr>
        <w:widowControl w:val="1"/>
        <w:numPr>
          <w:ilvl w:val="0"/>
          <w:numId w:val="5"/>
        </w:numPr>
        <w:tabs>
          <w:tab w:val="left" w:pos="426"/>
          <w:tab w:val="left" w:pos="993"/>
        </w:tabs>
        <w:ind w:left="0" w:firstLine="567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Аман І., Литвиненко О. Інтернет-сервіси в освітньому просторі: методичний посібник / І. Аман, О. Литвиненко. – Кіровоград: КЗ «Кіровоградський обласний інститут післядипломної педагогічної освіти імені Василя Сухомлинського», 2016. – 88 с.</w:t>
      </w:r>
    </w:p>
    <w:p w:rsidR="00000000" w:rsidDel="00000000" w:rsidP="00000000" w:rsidRDefault="00000000" w:rsidRPr="00000000" w14:paraId="00000096">
      <w:pPr>
        <w:widowControl w:val="1"/>
        <w:numPr>
          <w:ilvl w:val="0"/>
          <w:numId w:val="5"/>
        </w:numPr>
        <w:tabs>
          <w:tab w:val="left" w:pos="426"/>
          <w:tab w:val="left" w:pos="993"/>
        </w:tabs>
        <w:ind w:left="0" w:firstLine="567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Технології розвитку критичного мислення учнів / [Кроуфорд А., Саул В., Метьюз С., Макінстер Д.] ; наук. ред., передм. О. І. Пометун. – К. : Плеяда, 2006. – 220 с.</w:t>
      </w:r>
    </w:p>
    <w:p w:rsidR="00000000" w:rsidDel="00000000" w:rsidP="00000000" w:rsidRDefault="00000000" w:rsidRPr="00000000" w14:paraId="00000097">
      <w:pPr>
        <w:widowControl w:val="1"/>
        <w:numPr>
          <w:ilvl w:val="0"/>
          <w:numId w:val="5"/>
        </w:numPr>
        <w:tabs>
          <w:tab w:val="left" w:pos="426"/>
          <w:tab w:val="left" w:pos="993"/>
        </w:tabs>
        <w:ind w:left="0" w:firstLine="567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Науменко С.О. Тестові технології оцінювання компетентностей учнів: міжнародний досвід [Електронний ресурс]. – Режим доступу: </w:t>
      </w:r>
      <w:r w:rsidDel="00000000" w:rsidR="00000000" w:rsidRPr="00000000">
        <w:rPr>
          <w:color w:val="0000ff"/>
          <w:sz w:val="28"/>
          <w:szCs w:val="28"/>
          <w:u w:val="single"/>
          <w:rtl w:val="0"/>
        </w:rPr>
        <w:t xml:space="preserve">http://lib.iitta.gov.ua/9408/1/Faxova_stattya_2014_Науменко.pdf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98">
      <w:pPr>
        <w:widowControl w:val="1"/>
        <w:numPr>
          <w:ilvl w:val="0"/>
          <w:numId w:val="5"/>
        </w:numPr>
        <w:tabs>
          <w:tab w:val="left" w:pos="426"/>
          <w:tab w:val="left" w:pos="993"/>
        </w:tabs>
        <w:ind w:left="0" w:firstLine="567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Онкович Г. В. Медіаосвіта: експерим. програма баз.навч. курсу для студ. вищ.навч. закл. – К.6 Логос, 2010. – 40 с. –Бібліогр.: с.36 – 40.</w:t>
      </w:r>
    </w:p>
    <w:p w:rsidR="00000000" w:rsidDel="00000000" w:rsidP="00000000" w:rsidRDefault="00000000" w:rsidRPr="00000000" w14:paraId="00000099">
      <w:pPr>
        <w:widowControl w:val="1"/>
        <w:numPr>
          <w:ilvl w:val="0"/>
          <w:numId w:val="5"/>
        </w:numPr>
        <w:tabs>
          <w:tab w:val="left" w:pos="426"/>
          <w:tab w:val="left" w:pos="993"/>
        </w:tabs>
        <w:ind w:left="0" w:firstLine="567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Медіадидактика школи: український досвід / // Вища освіта України: теорет. та наук.-метод. часоп. / Ін-т вищ. освіти НАПН України. – Київ, 2013. – № 1. – С. 23–29.</w:t>
      </w:r>
    </w:p>
    <w:p w:rsidR="00000000" w:rsidDel="00000000" w:rsidP="00000000" w:rsidRDefault="00000000" w:rsidRPr="00000000" w14:paraId="0000009A">
      <w:pPr>
        <w:widowControl w:val="1"/>
        <w:numPr>
          <w:ilvl w:val="0"/>
          <w:numId w:val="5"/>
        </w:numPr>
        <w:tabs>
          <w:tab w:val="left" w:pos="426"/>
          <w:tab w:val="left" w:pos="993"/>
        </w:tabs>
        <w:ind w:left="0" w:firstLine="567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Медіакомпетентність фахівця: кол. монографія / Г. В. Онкович, Ю. М. Горун, В. О. Кравчук, Н. О. Литвин, І. В. Костюхіна, К. А. Нагорна ; за наук. ред. Г. В. Онкович ; НАПН України, Ін-т вищ. освіти. – Київ: Логос, 2013. – 286 с. : рис., табл.</w:t>
      </w:r>
    </w:p>
    <w:p w:rsidR="00000000" w:rsidDel="00000000" w:rsidP="00000000" w:rsidRDefault="00000000" w:rsidRPr="00000000" w14:paraId="0000009B">
      <w:pPr>
        <w:widowControl w:val="1"/>
        <w:numPr>
          <w:ilvl w:val="0"/>
          <w:numId w:val="5"/>
        </w:numPr>
        <w:tabs>
          <w:tab w:val="left" w:pos="426"/>
          <w:tab w:val="left" w:pos="993"/>
        </w:tabs>
        <w:ind w:left="0" w:firstLine="567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Компетентнісний підхід у сучасній освіті : світовий досвід та українські перспективи. Бібліотека з освітньої політики / за заг. ред. О. В. Овчарук. – К. : К.І.С., 2004. – 112 с. </w:t>
      </w:r>
    </w:p>
    <w:p w:rsidR="00000000" w:rsidDel="00000000" w:rsidP="00000000" w:rsidRDefault="00000000" w:rsidRPr="00000000" w14:paraId="0000009C">
      <w:pPr>
        <w:widowControl w:val="1"/>
        <w:numPr>
          <w:ilvl w:val="0"/>
          <w:numId w:val="5"/>
        </w:numPr>
        <w:tabs>
          <w:tab w:val="left" w:pos="426"/>
          <w:tab w:val="left" w:pos="993"/>
        </w:tabs>
        <w:ind w:left="0" w:firstLine="567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Савченко О. Я. Уміння вчитися як ключова компетентність загальної середньої освіти / О. Я. Савченко // Компетентнісний підхід у сучасній освіті : світовий досвід та українські перспективи. Бібліотека з освітньої політики / за заг. ред. О. В. Овчарук. – К. : К.І.С., 2004. – С. 34–52.</w:t>
      </w:r>
    </w:p>
    <w:p w:rsidR="00000000" w:rsidDel="00000000" w:rsidP="00000000" w:rsidRDefault="00000000" w:rsidRPr="00000000" w14:paraId="0000009D">
      <w:pPr>
        <w:widowControl w:val="1"/>
        <w:numPr>
          <w:ilvl w:val="0"/>
          <w:numId w:val="5"/>
        </w:numPr>
        <w:tabs>
          <w:tab w:val="left" w:pos="426"/>
          <w:tab w:val="left" w:pos="993"/>
        </w:tabs>
        <w:ind w:left="0" w:firstLine="567"/>
        <w:jc w:val="both"/>
        <w:rPr>
          <w:color w:val="000000"/>
          <w:sz w:val="28"/>
          <w:szCs w:val="28"/>
          <w:highlight w:val="white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Іваницький О. І. Теоретичні і методичні основи підготовки майбутнього вчителя до впровадження інноваційних технологій навчання в середній школі : автореф. дис. на здобуття наук ступеня докт. пед. наук : спец. 13.00.02 “Теорія та методика навчання фізики” / О. І. Іваницький. – Київ. – 2005. – 45с.</w:t>
      </w:r>
    </w:p>
    <w:p w:rsidR="00000000" w:rsidDel="00000000" w:rsidP="00000000" w:rsidRDefault="00000000" w:rsidRPr="00000000" w14:paraId="0000009E">
      <w:pPr>
        <w:widowControl w:val="1"/>
        <w:numPr>
          <w:ilvl w:val="0"/>
          <w:numId w:val="5"/>
        </w:numPr>
        <w:tabs>
          <w:tab w:val="left" w:pos="426"/>
          <w:tab w:val="left" w:pos="993"/>
        </w:tabs>
        <w:ind w:left="0" w:firstLine="567"/>
        <w:jc w:val="both"/>
        <w:rPr>
          <w:color w:val="0000ff"/>
          <w:sz w:val="28"/>
          <w:szCs w:val="28"/>
          <w:u w:val="singl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Нечипоренко Н.В. Інформаційні технології в освіті: методичні рекомендації [Електронний ресурс] // – Режим дост.:</w:t>
      </w:r>
      <w:hyperlink r:id="rId9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https://ru.calameo.com/read/00226054406146d635299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644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644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pos="426"/>
        </w:tabs>
        <w:ind w:left="284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pos="426"/>
        </w:tabs>
        <w:ind w:left="284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0"/>
        <w:gridCol w:w="6616"/>
        <w:tblGridChange w:id="0">
          <w:tblGrid>
            <w:gridCol w:w="3260"/>
            <w:gridCol w:w="6616"/>
          </w:tblGrid>
        </w:tblGridChange>
      </w:tblGrid>
      <w:tr>
        <w:trPr>
          <w:trHeight w:val="551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Строки виконання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Програми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" w:right="0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Місце виконання програми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" w:right="0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вул. Ярослава Мудрого, 37, м. Біла Церква</w:t>
            </w:r>
          </w:p>
        </w:tc>
      </w:tr>
      <w:tr>
        <w:trPr>
          <w:trHeight w:val="828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Вартість/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безоплатність надання освітньої послуги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" w:right="0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безоплатність надання освітньої послуги</w:t>
            </w:r>
          </w:p>
        </w:tc>
      </w:tr>
      <w:tr>
        <w:trPr>
          <w:trHeight w:val="827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Документ, що видається за результатами підвищення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hanging="108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кваліфікації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" w:right="0" w:hanging="1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1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Сертифікат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tabs>
          <w:tab w:val="left" w:pos="993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04" w:hanging="360"/>
      </w:pPr>
      <w:rPr/>
    </w:lvl>
    <w:lvl w:ilvl="1">
      <w:start w:val="1"/>
      <w:numFmt w:val="lowerLetter"/>
      <w:lvlText w:val="%2."/>
      <w:lvlJc w:val="left"/>
      <w:pPr>
        <w:ind w:left="1724" w:hanging="360"/>
      </w:pPr>
      <w:rPr/>
    </w:lvl>
    <w:lvl w:ilvl="2">
      <w:start w:val="1"/>
      <w:numFmt w:val="lowerRoman"/>
      <w:lvlText w:val="%3."/>
      <w:lvlJc w:val="right"/>
      <w:pPr>
        <w:ind w:left="2444" w:hanging="180"/>
      </w:pPr>
      <w:rPr/>
    </w:lvl>
    <w:lvl w:ilvl="3">
      <w:start w:val="1"/>
      <w:numFmt w:val="decimal"/>
      <w:lvlText w:val="%4."/>
      <w:lvlJc w:val="left"/>
      <w:pPr>
        <w:ind w:left="3164" w:hanging="360"/>
      </w:pPr>
      <w:rPr/>
    </w:lvl>
    <w:lvl w:ilvl="4">
      <w:start w:val="1"/>
      <w:numFmt w:val="lowerLetter"/>
      <w:lvlText w:val="%5."/>
      <w:lvlJc w:val="left"/>
      <w:pPr>
        <w:ind w:left="3884" w:hanging="360"/>
      </w:pPr>
      <w:rPr/>
    </w:lvl>
    <w:lvl w:ilvl="5">
      <w:start w:val="1"/>
      <w:numFmt w:val="lowerRoman"/>
      <w:lvlText w:val="%6."/>
      <w:lvlJc w:val="right"/>
      <w:pPr>
        <w:ind w:left="4604" w:hanging="180"/>
      </w:pPr>
      <w:rPr/>
    </w:lvl>
    <w:lvl w:ilvl="6">
      <w:start w:val="1"/>
      <w:numFmt w:val="decimal"/>
      <w:lvlText w:val="%7."/>
      <w:lvlJc w:val="left"/>
      <w:pPr>
        <w:ind w:left="5324" w:hanging="360"/>
      </w:pPr>
      <w:rPr/>
    </w:lvl>
    <w:lvl w:ilvl="7">
      <w:start w:val="1"/>
      <w:numFmt w:val="lowerLetter"/>
      <w:lvlText w:val="%8."/>
      <w:lvlJc w:val="left"/>
      <w:pPr>
        <w:ind w:left="6044" w:hanging="360"/>
      </w:pPr>
      <w:rPr/>
    </w:lvl>
    <w:lvl w:ilvl="8">
      <w:start w:val="1"/>
      <w:numFmt w:val="lowerRoman"/>
      <w:lvlText w:val="%9."/>
      <w:lvlJc w:val="right"/>
      <w:pPr>
        <w:ind w:left="6764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100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24" w:hanging="360"/>
      </w:pPr>
      <w:rPr/>
    </w:lvl>
    <w:lvl w:ilvl="2">
      <w:start w:val="1"/>
      <w:numFmt w:val="lowerRoman"/>
      <w:lvlText w:val="%3."/>
      <w:lvlJc w:val="right"/>
      <w:pPr>
        <w:ind w:left="2444" w:hanging="180"/>
      </w:pPr>
      <w:rPr/>
    </w:lvl>
    <w:lvl w:ilvl="3">
      <w:start w:val="1"/>
      <w:numFmt w:val="decimal"/>
      <w:lvlText w:val="%4."/>
      <w:lvlJc w:val="left"/>
      <w:pPr>
        <w:ind w:left="3164" w:hanging="360"/>
      </w:pPr>
      <w:rPr/>
    </w:lvl>
    <w:lvl w:ilvl="4">
      <w:start w:val="1"/>
      <w:numFmt w:val="lowerLetter"/>
      <w:lvlText w:val="%5."/>
      <w:lvlJc w:val="left"/>
      <w:pPr>
        <w:ind w:left="3884" w:hanging="360"/>
      </w:pPr>
      <w:rPr/>
    </w:lvl>
    <w:lvl w:ilvl="5">
      <w:start w:val="1"/>
      <w:numFmt w:val="lowerRoman"/>
      <w:lvlText w:val="%6."/>
      <w:lvlJc w:val="right"/>
      <w:pPr>
        <w:ind w:left="4604" w:hanging="180"/>
      </w:pPr>
      <w:rPr/>
    </w:lvl>
    <w:lvl w:ilvl="6">
      <w:start w:val="1"/>
      <w:numFmt w:val="decimal"/>
      <w:lvlText w:val="%7."/>
      <w:lvlJc w:val="left"/>
      <w:pPr>
        <w:ind w:left="5324" w:hanging="360"/>
      </w:pPr>
      <w:rPr/>
    </w:lvl>
    <w:lvl w:ilvl="7">
      <w:start w:val="1"/>
      <w:numFmt w:val="lowerLetter"/>
      <w:lvlText w:val="%8."/>
      <w:lvlJc w:val="left"/>
      <w:pPr>
        <w:ind w:left="6044" w:hanging="360"/>
      </w:pPr>
      <w:rPr/>
    </w:lvl>
    <w:lvl w:ilvl="8">
      <w:start w:val="1"/>
      <w:numFmt w:val="lowerRoman"/>
      <w:lvlText w:val="%9."/>
      <w:lvlJc w:val="right"/>
      <w:pPr>
        <w:ind w:left="676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sid w:val="005C4BA4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bidi="uk-UA" w:eastAsia="uk-UA"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"/>
    <w:basedOn w:val="a"/>
    <w:link w:val="a4"/>
    <w:uiPriority w:val="1"/>
    <w:unhideWhenUsed w:val="1"/>
    <w:qFormat w:val="1"/>
    <w:rsid w:val="005C4BA4"/>
    <w:rPr>
      <w:sz w:val="28"/>
      <w:szCs w:val="28"/>
    </w:rPr>
  </w:style>
  <w:style w:type="character" w:styleId="a4" w:customStyle="1">
    <w:name w:val="Основной текст Знак"/>
    <w:basedOn w:val="a0"/>
    <w:link w:val="a3"/>
    <w:uiPriority w:val="1"/>
    <w:rsid w:val="005C4BA4"/>
    <w:rPr>
      <w:rFonts w:ascii="Times New Roman" w:cs="Times New Roman" w:eastAsia="Times New Roman" w:hAnsi="Times New Roman"/>
      <w:sz w:val="28"/>
      <w:szCs w:val="28"/>
      <w:lang w:bidi="uk-UA" w:eastAsia="uk-UA" w:val="uk-UA"/>
    </w:rPr>
  </w:style>
  <w:style w:type="table" w:styleId="a5">
    <w:name w:val="Table Grid"/>
    <w:basedOn w:val="a1"/>
    <w:uiPriority w:val="39"/>
    <w:rsid w:val="005C4B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ableParagraph" w:customStyle="1">
    <w:name w:val="Table Paragraph"/>
    <w:basedOn w:val="a"/>
    <w:uiPriority w:val="1"/>
    <w:qFormat w:val="1"/>
    <w:rsid w:val="00BA579B"/>
    <w:pPr>
      <w:spacing w:line="262" w:lineRule="exact"/>
      <w:ind w:left="108"/>
    </w:pPr>
  </w:style>
  <w:style w:type="table" w:styleId="TableNormal" w:customStyle="1">
    <w:name w:val="Table Normal"/>
    <w:uiPriority w:val="2"/>
    <w:semiHidden w:val="1"/>
    <w:qFormat w:val="1"/>
    <w:rsid w:val="00BA579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6">
    <w:name w:val="List Paragraph"/>
    <w:basedOn w:val="a"/>
    <w:link w:val="a7"/>
    <w:uiPriority w:val="99"/>
    <w:qFormat w:val="1"/>
    <w:rsid w:val="006D60B3"/>
    <w:pPr>
      <w:ind w:left="720"/>
      <w:contextualSpacing w:val="1"/>
    </w:pPr>
  </w:style>
  <w:style w:type="character" w:styleId="a8">
    <w:name w:val="Hyperlink"/>
    <w:basedOn w:val="a0"/>
    <w:uiPriority w:val="99"/>
    <w:unhideWhenUsed w:val="1"/>
    <w:rsid w:val="00F6084F"/>
    <w:rPr>
      <w:color w:val="0000ff"/>
      <w:u w:val="single"/>
    </w:rPr>
  </w:style>
  <w:style w:type="character" w:styleId="a7" w:customStyle="1">
    <w:name w:val="Абзац списка Знак"/>
    <w:link w:val="a6"/>
    <w:uiPriority w:val="99"/>
    <w:locked w:val="1"/>
    <w:rsid w:val="00670CE6"/>
    <w:rPr>
      <w:rFonts w:ascii="Times New Roman" w:cs="Times New Roman" w:eastAsia="Times New Roman" w:hAnsi="Times New Roman"/>
      <w:lang w:bidi="uk-UA" w:eastAsia="uk-UA" w:val="uk-UA"/>
    </w:rPr>
  </w:style>
  <w:style w:type="paragraph" w:styleId="31" w:customStyle="1">
    <w:name w:val="Заголовок 31"/>
    <w:basedOn w:val="a"/>
    <w:next w:val="a"/>
    <w:uiPriority w:val="99"/>
    <w:semiHidden w:val="1"/>
    <w:rsid w:val="004C3034"/>
    <w:pPr>
      <w:keepNext w:val="1"/>
      <w:keepLines w:val="1"/>
      <w:widowControl w:val="1"/>
      <w:autoSpaceDE w:val="1"/>
      <w:autoSpaceDN w:val="1"/>
      <w:spacing w:before="200" w:line="276" w:lineRule="auto"/>
      <w:outlineLvl w:val="2"/>
    </w:pPr>
    <w:rPr>
      <w:rFonts w:ascii="Calibri Light" w:hAnsi="Calibri Light"/>
      <w:b w:val="1"/>
      <w:bCs w:val="1"/>
      <w:color w:val="5b9bd5"/>
      <w:lang w:bidi="ar-SA" w:eastAsia="ru-RU" w:val="ru-RU"/>
    </w:rPr>
  </w:style>
  <w:style w:type="paragraph" w:styleId="Default" w:customStyle="1">
    <w:name w:val="Default"/>
    <w:uiPriority w:val="99"/>
    <w:rsid w:val="008C3D8A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u.calameo.com/read/00226054406146d635299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kmu.gov.ua/storage/app/media/reforms/ukrainska-shkola-compressed.pdf" TargetMode="External"/><Relationship Id="rId8" Type="http://schemas.openxmlformats.org/officeDocument/2006/relationships/hyperlink" Target="http://school3z.at.ua/load/pidruchniki_gdz_literatu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TPXLbZaaHTuA0+KdV9/zyMVjcQ==">AMUW2mWti9ojLAuYMWfcoRRu7qZi1QkY24U51/4k68BVbHL+FuOkKPHlaCCTHjhIwUhbn4rN85KNWBEctntmrNklBH1fS07U4ngzqIxuecbtsaqaPMQ92sCyc7c4yPQL+imVm76clO3m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2020-01-14T06:16:00Z</dcterms:created>
  <dc:creator>k_201</dc:creator>
</cp:coreProperties>
</file>