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i w:val="1"/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від 21 січня 2020 року №1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i w:val="1"/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b w:val="1"/>
                <w:i w:val="1"/>
                <w:color w:val="000000"/>
                <w:sz w:val="29"/>
                <w:szCs w:val="29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від 22 січня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b w:val="1"/>
          <w:i w:val="1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 w:firstLine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КВАЛІФІКАЦІЇ ДИРЕКТОРІВ, ЗАСТУПНИКІВ ДИРЕКТОРІВ З НАВЧАЛЬНО-ВИХОВНОЇ, ВИХОВНОЇ РОБОТИ, ЗАКЛАДІВ ЗАГАЛЬНОЇ СЕРЕДНЬОЇ ОСВІТИ </w:t>
      </w:r>
    </w:p>
    <w:p w:rsidR="00000000" w:rsidDel="00000000" w:rsidP="00000000" w:rsidRDefault="00000000" w:rsidRPr="00000000" w14:paraId="00000015">
      <w:pPr>
        <w:spacing w:before="1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«ФАНДРЕЙЗИНГ: ПОШУК РЕСУРСІВ ДЛЯ РЕАЛІЗАЦІЇ ПРОЄКТІВ»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(розробники: Часнікова О.В.,  Довгань А.І.)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i w:val="1"/>
          <w:color w:val="ff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Біла Церква – 2020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426"/>
        <w:gridCol w:w="5486"/>
        <w:gridCol w:w="893"/>
        <w:tblGridChange w:id="0">
          <w:tblGrid>
            <w:gridCol w:w="3260"/>
            <w:gridCol w:w="426"/>
            <w:gridCol w:w="5486"/>
            <w:gridCol w:w="893"/>
          </w:tblGrid>
        </w:tblGridChange>
      </w:tblGrid>
      <w:tr>
        <w:trPr>
          <w:trHeight w:val="554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9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Розробники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Часнікова О.В.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в.о. проректора Комунального навчального закладу Київської обласної ради,доцент кафедри природничо-математичної освіти та технологій 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Довгань А.І.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, завідувач кафедри природничо-математичної освіти та технологій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Найменування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рограма підвищення кваліфікації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директорів, заступників директорів з навчально-виховної, виховної роботи, закладів загальної середньої освіти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«Фандрейзинг: пошук ресурсів для реалізації проєктів»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8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Мета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0" w:right="142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b2b2b"/>
                <w:sz w:val="24"/>
                <w:szCs w:val="24"/>
                <w:highlight w:val="white"/>
                <w:rtl w:val="0"/>
              </w:rPr>
              <w:t xml:space="preserve">Формування навичок ефективного управління та  планування процесу фандрейзингу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3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Напрям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1"/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Формування у здобувачів освіти спільних для ключових компетентностей вмінь, визначених </w:t>
            </w:r>
            <w:hyperlink r:id="rId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частиною першою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 статті 12 Закону України “Про освіту”.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Зміст програми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Тема заняття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Rule="auto"/>
              <w:ind w:left="109" w:right="106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Год.</w:t>
            </w:r>
          </w:p>
        </w:tc>
      </w:tr>
      <w:tr>
        <w:trPr>
          <w:trHeight w:val="157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hanging="108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Вступ до теми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Rule="auto"/>
              <w:ind w:left="109" w:right="10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157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Робота благодійних фондів та громадських організацій в Україні: ресурсна підтримка освітніх проєктів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Rule="auto"/>
              <w:ind w:left="109" w:right="10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285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529"/>
              </w:tabs>
              <w:ind w:left="142" w:hanging="14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Планування проєктної діяльності закладу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0" w:lineRule="auto"/>
              <w:ind w:left="109" w:right="10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95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Фандрейзинг: основні поняття та принципи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18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Вивчення потреб та запитів суб’єктів освітньої діяльності. Формування проєктної команди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279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Процедура подання та розгляду донорських заявок. Вимоги до проектної заявки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6" w:hanging="10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63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Написання проєктної заявки на отримання гранту. Складання кошторису проєкту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3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Чому фонди допомагають вирішувати проблеми освіти?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Круглий стіл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trHeight w:val="551" w:hRule="atLeast"/>
        </w:trPr>
        <w:tc>
          <w:tcPr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357" w:hanging="357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Підсумкове заняття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Обсяг програми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 кредит ЄКТС (26 аудиторних годин, 4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кваліфікації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107" w:hanging="108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Інститутційна (очна) </w:t>
            </w:r>
          </w:p>
        </w:tc>
      </w:tr>
      <w:tr>
        <w:trPr>
          <w:trHeight w:val="3959" w:hRule="atLeast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7" w:lineRule="auto"/>
              <w:ind w:left="105" w:hanging="108"/>
              <w:jc w:val="center"/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Результати навчання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здійснювати управління проектною діяльністю із застосуванням принципів демократичного управління.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вивчати, аналізувати та застосовувати під час планування освітнього процесу професійну інформацію, яка представлена в літературі, на електронних носіях, на Web-сервісах тощо.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збереження, дотримання та розвиток встановлених в організації (установі) правил, цінностей та традицій.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створення безпечних, психологічно комфортних та толерантних умов освітнього процесу.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організації співпраці з батьками в різних формах взаємодії.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координації взаємодії заінтересованих осіб для гармонійного розвитку учнів.</w:t>
            </w:r>
          </w:p>
        </w:tc>
      </w:tr>
    </w:tbl>
    <w:p w:rsidR="00000000" w:rsidDel="00000000" w:rsidP="00000000" w:rsidRDefault="00000000" w:rsidRPr="00000000" w14:paraId="0000007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uiPriority w:val="1"/>
    <w:qFormat w:val="1"/>
    <w:rsid w:val="0042447B"/>
    <w:rPr>
      <w:lang w:bidi="uk-UA" w:eastAsia="uk-UA"/>
    </w:rPr>
  </w:style>
  <w:style w:type="paragraph" w:styleId="1">
    <w:name w:val="heading 1"/>
    <w:basedOn w:val="a"/>
    <w:link w:val="10"/>
    <w:uiPriority w:val="9"/>
    <w:qFormat w:val="1"/>
    <w:rsid w:val="0040576D"/>
    <w:pPr>
      <w:widowControl w:val="1"/>
      <w:spacing w:after="100" w:afterAutospacing="1" w:before="100" w:beforeAutospacing="1"/>
      <w:outlineLvl w:val="0"/>
    </w:pPr>
    <w:rPr>
      <w:b w:val="1"/>
      <w:bCs w:val="1"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rsid w:val="0042447B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sid w:val="0042447B"/>
    <w:rPr>
      <w:sz w:val="28"/>
      <w:szCs w:val="28"/>
    </w:rPr>
  </w:style>
  <w:style w:type="paragraph" w:styleId="a5">
    <w:name w:val="List Paragraph"/>
    <w:basedOn w:val="a"/>
    <w:uiPriority w:val="34"/>
    <w:qFormat w:val="1"/>
    <w:rsid w:val="0042447B"/>
  </w:style>
  <w:style w:type="paragraph" w:styleId="TableParagraph" w:customStyle="1">
    <w:name w:val="Table Paragraph"/>
    <w:basedOn w:val="a"/>
    <w:uiPriority w:val="1"/>
    <w:qFormat w:val="1"/>
    <w:rsid w:val="0042447B"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7">
    <w:name w:val="Balloon Text"/>
    <w:basedOn w:val="a"/>
    <w:link w:val="a8"/>
    <w:uiPriority w:val="99"/>
    <w:semiHidden w:val="1"/>
    <w:unhideWhenUsed w:val="1"/>
    <w:rsid w:val="00E5090C"/>
    <w:rPr>
      <w:rFonts w:ascii="Segoe UI" w:cs="Segoe UI" w:hAnsi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 w:val="1"/>
    <w:rsid w:val="00E5090C"/>
    <w:rPr>
      <w:rFonts w:ascii="Segoe UI" w:cs="Segoe UI" w:eastAsia="Times New Roman" w:hAnsi="Segoe UI"/>
      <w:sz w:val="18"/>
      <w:szCs w:val="18"/>
      <w:lang w:bidi="uk-UA" w:eastAsia="uk-UA" w:val="uk-UA"/>
    </w:rPr>
  </w:style>
  <w:style w:type="character" w:styleId="a9">
    <w:name w:val="Hyperlink"/>
    <w:basedOn w:val="a0"/>
    <w:uiPriority w:val="99"/>
    <w:unhideWhenUsed w:val="1"/>
    <w:rsid w:val="004C5628"/>
    <w:rPr>
      <w:color w:val="0000ff" w:themeColor="hyperlink"/>
      <w:u w:val="single"/>
    </w:rPr>
  </w:style>
  <w:style w:type="paragraph" w:styleId="Default" w:customStyle="1">
    <w:name w:val="Default"/>
    <w:rsid w:val="007346B5"/>
    <w:pPr>
      <w:widowControl w:val="1"/>
      <w:adjustRightInd w:val="0"/>
    </w:pPr>
    <w:rPr>
      <w:color w:val="000000"/>
      <w:sz w:val="24"/>
      <w:szCs w:val="24"/>
      <w:lang w:val="ru-RU"/>
    </w:rPr>
  </w:style>
  <w:style w:type="character" w:styleId="10" w:customStyle="1">
    <w:name w:val="Заголовок 1 Знак"/>
    <w:basedOn w:val="a0"/>
    <w:link w:val="1"/>
    <w:uiPriority w:val="9"/>
    <w:rsid w:val="0040576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 w:val="uk-UA"/>
    </w:rPr>
  </w:style>
  <w:style w:type="character" w:styleId="aa">
    <w:name w:val="Strong"/>
    <w:basedOn w:val="a0"/>
    <w:uiPriority w:val="22"/>
    <w:qFormat w:val="1"/>
    <w:rsid w:val="00013FDD"/>
    <w:rPr>
      <w:b w:val="1"/>
      <w:bCs w:val="1"/>
    </w:rPr>
  </w:style>
  <w:style w:type="paragraph" w:styleId="ab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c" w:customStyle="1">
    <w:basedOn w:val="TableNormal0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0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f1">
    <w:name w:val="Normal (Web)"/>
    <w:basedOn w:val="a"/>
    <w:uiPriority w:val="99"/>
    <w:semiHidden w:val="1"/>
    <w:unhideWhenUsed w:val="1"/>
    <w:rsid w:val="001F623F"/>
    <w:pPr>
      <w:widowControl w:val="1"/>
      <w:spacing w:after="100" w:afterAutospacing="1" w:before="100" w:beforeAutospacing="1"/>
    </w:pPr>
    <w:rPr>
      <w:sz w:val="24"/>
      <w:szCs w:val="24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akon.rada.gov.ua/laws/show/2145-19#n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6qwzeNqXaVyZANiZmWeecu+Mzw==">AMUW2mXa/ZU+7OkeDCyzTNGtUKxCq0qPFpn0P5IohYeWADObuiboX63lzzinEpC4VNzaO4G1jbjlcrcpCNMtrkTU6VssHHmcUhZMudyFJ7QnCt+9aynsNAI=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2020-04-07T18:22:00Z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