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741.000000000004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47"/>
        <w:gridCol w:w="10247"/>
        <w:gridCol w:w="10247"/>
        <w:tblGridChange w:id="0">
          <w:tblGrid>
            <w:gridCol w:w="10247"/>
            <w:gridCol w:w="10247"/>
            <w:gridCol w:w="10247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3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077"/>
              <w:gridCol w:w="1985"/>
              <w:gridCol w:w="3969"/>
              <w:tblGridChange w:id="0">
                <w:tblGrid>
                  <w:gridCol w:w="4077"/>
                  <w:gridCol w:w="1985"/>
                  <w:gridCol w:w="396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СХВАЛЕНО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Протокол засідання вченої ради КНЗ КОР «КОІПОПК» </w:t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 21 січня 2020 року №1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ЗАТВЕРДЖЕНО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Наказ КНЗ КОР «КОІПОПК» 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 22 січня 2020 року №13/1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03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077"/>
              <w:gridCol w:w="1985"/>
              <w:gridCol w:w="3969"/>
              <w:tblGridChange w:id="0">
                <w:tblGrid>
                  <w:gridCol w:w="4077"/>
                  <w:gridCol w:w="1985"/>
                  <w:gridCol w:w="396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СХВАЛЕНО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Протокол засідання вченої ради КНЗ КОР «КОІПОПК» 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 21 січня 2020 року №1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ЗАТВЕРДЖЕНО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Наказ КНЗ КОР «КОІПОПК» 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 22 січня 2020 року №13/1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03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077"/>
              <w:gridCol w:w="1985"/>
              <w:gridCol w:w="3969"/>
              <w:tblGridChange w:id="0">
                <w:tblGrid>
                  <w:gridCol w:w="4077"/>
                  <w:gridCol w:w="1985"/>
                  <w:gridCol w:w="396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СХВАЛЕНО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Протокол засідання вченої ради КНЗ КОР «КОІПОПК» 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 21 січня 2020 року №1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ЗАТВЕРДЖЕНО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Наказ КНЗ КОР «КОІПОПК» 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7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9"/>
                      <w:szCs w:val="2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від 22 січня 2020 року №13/1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ПІДВИЩЕННЯ КВАЛІФІКАЦІЇ КЛАСНИХ КЕРІВНИКІВ, ПЕДАГОГІВ-ОРГАНІЗАТОРІВ, СОЦІАЛЬНИХ ПЕДАГОГІВ, ПРАКТИЧНИХ ПСИХОЛОГІВ, ШКІЛЬНИХ КОМАНД ЗАКЛАДІВ ЗАГАЛЬНОЇ СЕРЕДНЬОЇ ОСВІТИ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«ПЕДАГОГІЧНИЙ КЕЙС У ПРОФЕСІЙНІЙ ДІЯЛЬНОСТІ ВЧИТЕЛЯ»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(розробник: Шевченко А.М.)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3A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10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513"/>
        <w:gridCol w:w="6574"/>
        <w:gridCol w:w="567"/>
        <w:tblGridChange w:id="0">
          <w:tblGrid>
            <w:gridCol w:w="2356"/>
            <w:gridCol w:w="513"/>
            <w:gridCol w:w="6574"/>
            <w:gridCol w:w="567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Укладач програми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Шевченко А. 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педагогіки, психології та менеджменту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spacing w:before="1" w:lineRule="auto"/>
              <w:ind w:left="10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класних керівників, педагогів-організаторів, соціальних педагогів, практичних психологів, шкільних команд закладів загальної середньої освіти «Педагогічний кейс у професійній діяльності вчителя»</w:t>
            </w:r>
          </w:p>
        </w:tc>
      </w:tr>
      <w:tr>
        <w:trPr>
          <w:trHeight w:val="50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Удосконалення рівня професійної компетентності вчителя на основі професійного самовдосконалення  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у здобувачів освіти спільних для ключових компетентностей вмінь, визначених частиною першою статті 12 Закону України «Про освіту»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Сутність і тенденції розвитку інформаційного суспільства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Особливості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організації освітнього процесу з використанням методів і прийомів розвитку  критичного мислення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Нові ролі педагога у контексті реформ сучасної школи 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1"/>
              <w:spacing w:line="230" w:lineRule="auto"/>
              <w:ind w:right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Лідерство як нова освітня парадигма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0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Soft-skills та hard-skills у структурі професійної компетентності педагогічних працівників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ind w:right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Прокрастинація – конфлікт між «важливим» і «приємним»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Формування комунікативної та конфліктологічної компетентності педагогічних працівників закладу освіти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Тайм-менеджмент: ефективні інструменти і стратегії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психологічного здоров’я педагогічних працівників в умовах становлення концепції Нової української школи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0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Тренінг «Медіаграмотність – вимога часу»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Тематична дискусія  «Інформаційно-методичний кейс сучасного вчителя»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знання у практичних ситуаціях.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міжособистісної взаємодії.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бути критичним та самокритичним.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діяти на основі етичних міркувань (мотивів).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дотримуватись вимог нормативно-правових документів, що регламентують організацію освітнього процесу.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організації взаємодії з профільними фахівцями щодо планування освітнього процесу.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добирати доцільні методи, засоби й форми навчання, відповідно до особливостей учнів класу.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організації співпраці з батьками в різних формах взаємодії.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створення безпечних, психологічно комфортних та толерантних умов освітнього процесу.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створення здоров’язбережувального освітнього середовища, зорієнтованого на особистісний, творчий і духовний розвиток учнів.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усвідомлення своєї ролі як педагога, системи цінностей, мети та завдань професійної діяльності вчителя.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визначення сильних і слабких сторін власної педагогічної діяльності.</w:t>
            </w:r>
          </w:p>
        </w:tc>
      </w:tr>
    </w:tbl>
    <w:p w:rsidR="00000000" w:rsidDel="00000000" w:rsidP="00000000" w:rsidRDefault="00000000" w:rsidRPr="00000000" w14:paraId="000000A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A4">
      <w:pPr>
        <w:tabs>
          <w:tab w:val="left" w:pos="14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14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14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uk-UA" w:eastAsia="uk-UA" w:val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autoSpaceDE w:val="1"/>
      <w:autoSpaceDN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a">
    <w:name w:val="FollowedHyperlink"/>
    <w:basedOn w:val="a0"/>
    <w:uiPriority w:val="99"/>
    <w:semiHidden w:val="1"/>
    <w:unhideWhenUsed w:val="1"/>
    <w:rsid w:val="009D6DDF"/>
    <w:rPr>
      <w:color w:val="800080" w:themeColor="followedHyperlink"/>
      <w:u w:val="single"/>
    </w:rPr>
  </w:style>
  <w:style w:type="character" w:styleId="a4" w:customStyle="1">
    <w:name w:val="Основной текст Знак"/>
    <w:basedOn w:val="a0"/>
    <w:link w:val="a3"/>
    <w:uiPriority w:val="1"/>
    <w:rsid w:val="00980C0D"/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character" w:styleId="ab">
    <w:name w:val="Strong"/>
    <w:basedOn w:val="a0"/>
    <w:uiPriority w:val="22"/>
    <w:qFormat w:val="1"/>
    <w:rsid w:val="00135826"/>
    <w:rPr>
      <w:b w:val="1"/>
      <w:bCs w:val="1"/>
    </w:rPr>
  </w:style>
  <w:style w:type="paragraph" w:styleId="ac">
    <w:name w:val="Normal (Web)"/>
    <w:basedOn w:val="a"/>
    <w:uiPriority w:val="99"/>
    <w:semiHidden w:val="1"/>
    <w:unhideWhenUsed w:val="1"/>
    <w:rsid w:val="00135826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ro.com.ua/fandreyzing-zaluchennya-resursiv-dlya-rozvitku-navchalnogo-zakla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gdDD8svftRWfPnuWUze/nsJNsw==">AMUW2mXb8WcR4fJjTU6Te5viMC4fx3G10JYLuCBMUhdvhjTZmlciANZeWOhAgEEhawry8Xdo8GLNozlzLRjQ0qDU+Baz6kpC/yXPf2Ws6qR+Mi6HZSiXOu1SkeJj3TEAUAnHu8LH8iReh0xRUJ1y+hR/iYWK2C7WiA==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