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 21.01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ПІДВИЩЕННЯ ФАХОВОЇ КВАЛІФІКАЦІЇ ПЕДАГОГІЧНИХ ПРАЦІВНИКІВ «ВИКОРИСТАННЯ ЗАСОБІВ </w:t>
      </w:r>
      <w:r w:rsidDel="00000000" w:rsidR="00000000" w:rsidRPr="00000000">
        <w:rPr>
          <w:b w:val="1"/>
          <w:sz w:val="28"/>
          <w:szCs w:val="28"/>
          <w:rtl w:val="0"/>
        </w:rPr>
        <w:t xml:space="preserve">ІКТ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У ОСВІТНЬОМУ ПРОЦЕСІ ГЕОГРАФІЇ І ПРИРОДОЗНАВСТВА»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7845"/>
        <w:tblGridChange w:id="0">
          <w:tblGrid>
            <w:gridCol w:w="2505"/>
            <w:gridCol w:w="7845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Укладач програми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.7322834645671" w:right="1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Гудима В.М., методист відділу географії, економіки, краєзнавства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41.7322834645671" w:righ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Програма підвищення фахової кваліфікації педагогічних  працівників з проблеми: «Використання засобів ІКТ у процесі навчання географії і природознавства»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71" w:right="142" w:firstLine="0"/>
              <w:jc w:val="both"/>
              <w:rPr>
                <w:color w:val="ff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Навчити вчителів використовувати цифрові технології в процесі викладання географії, історії, англійської мови та інших предметів. Ознайомлення з  освітніми навчальними веб-ресурсами. Формування практичних навичок по створенні  електронних посібників та веб-сайтів.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71" w:right="1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Соціальний, дослідницький напрями, суспільні виклики з використання засобів цифрових технологій в загальноосвітніх навчальних закладах</w:t>
            </w:r>
          </w:p>
        </w:tc>
      </w:tr>
    </w:tbl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Зміст програми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48"/>
        <w:gridCol w:w="9427"/>
        <w:tblGridChange w:id="0">
          <w:tblGrid>
            <w:gridCol w:w="696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vMerge w:val="restart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317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ІІІ. Використання засобів цифрових технологій у процесі навчання географії та природознавства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Педагогіка партнерства</w:t>
            </w:r>
          </w:p>
        </w:tc>
      </w:tr>
      <w:tr>
        <w:trPr>
          <w:trHeight w:val="284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Варіативна частина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Організація освітнього процесу в Новій українській школі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Інноватика в освіті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Настановче заняття. 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Вихідне діагностування</w:t>
            </w:r>
          </w:p>
        </w:tc>
      </w:tr>
    </w:tbl>
    <w:p w:rsidR="00000000" w:rsidDel="00000000" w:rsidP="00000000" w:rsidRDefault="00000000" w:rsidRPr="00000000" w14:paraId="0000006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61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7001"/>
        <w:tblGridChange w:id="0">
          <w:tblGrid>
            <w:gridCol w:w="3260"/>
            <w:gridCol w:w="7001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4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2,5 кредити ЄКТС (70 аудиторних годин, 5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41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33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Загальні компетентності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Здатність застосовувати отримані знання  з ІКТ в професійній діяльності.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Здатність проведення досліджень з використання засобів ІКТ. 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Уміння виявляти, ставити та вирішувати проблеми з ІКТ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Здатність мотивувати  учнів засобами цифрових технологій. 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Здатність навчатися упродовж життя.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Спеціальні (професійні) компетентності: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Здатність активізувати новаторську і пошукову діяльність з використанням засобів цифрових технологій.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Здатність здійснювати практичну діяльність з використання засобів цифрових технологій у процесі навчання географії і природознавства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Здатність організовувати та реалізовувати освітню діяльність по використання засобів цифрових технологій.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Здатність ефективно взаємодіяти з колегами в групах з використання цифрових технологій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Здатність приймати фахові рішення з використання засобів ІКТ.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 Здатність оцінювати межі власної компетентності із знання цифрових технологій та підвищувати професійну кваліфікацію.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 Здатність розробляти та впроваджувати засоби ІКТ в навчальній діяльності.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a">
    <w:name w:val="Strong"/>
    <w:basedOn w:val="a0"/>
    <w:uiPriority w:val="22"/>
    <w:qFormat w:val="1"/>
    <w:rsid w:val="00013FDD"/>
    <w:rPr>
      <w:b w:val="1"/>
      <w:bCs w:val="1"/>
    </w:rPr>
  </w:style>
  <w:style w:type="character" w:styleId="ab">
    <w:name w:val="annotation reference"/>
    <w:basedOn w:val="a0"/>
    <w:uiPriority w:val="99"/>
    <w:semiHidden w:val="1"/>
    <w:unhideWhenUsed w:val="1"/>
    <w:rsid w:val="00A713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A713F2"/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 w:val="1"/>
    <w:rsid w:val="00A713F2"/>
    <w:rPr>
      <w:rFonts w:ascii="Times New Roman" w:cs="Times New Roman" w:eastAsia="Times New Roman" w:hAnsi="Times New Roman"/>
      <w:sz w:val="20"/>
      <w:szCs w:val="20"/>
      <w:lang w:bidi="uk-UA" w:eastAsia="uk-UA" w:val="uk-UA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A713F2"/>
    <w:rPr>
      <w:b w:val="1"/>
      <w:bCs w:val="1"/>
    </w:rPr>
  </w:style>
  <w:style w:type="character" w:styleId="af" w:customStyle="1">
    <w:name w:val="Тема примечания Знак"/>
    <w:basedOn w:val="ad"/>
    <w:link w:val="ae"/>
    <w:uiPriority w:val="99"/>
    <w:semiHidden w:val="1"/>
    <w:rsid w:val="00A713F2"/>
    <w:rPr>
      <w:rFonts w:ascii="Times New Roman" w:cs="Times New Roman" w:eastAsia="Times New Roman" w:hAnsi="Times New Roman"/>
      <w:b w:val="1"/>
      <w:bCs w:val="1"/>
      <w:sz w:val="20"/>
      <w:szCs w:val="20"/>
      <w:lang w:bidi="uk-UA" w:eastAsia="uk-UA" w:val="uk-UA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fEy4IYSKz6Hky4rGzILoTpNfg==">AMUW2mUJZQ5qvFRi6UaJNXqXqWfB35Fn8a95kJUmRb3gvNC39wkY7jpwhWhL9eqBIZPAzJllVBOnUwEShuZvoNYj2Qo7o7eofHu7BoBY4it4cCqj2s4a2cSU7RYxi3IIOrU9RcWLhq0T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