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</w:t>
      </w:r>
      <w:r w:rsidDel="00000000" w:rsidR="00000000" w:rsidRPr="00000000">
        <w:rPr>
          <w:b w:val="1"/>
          <w:rtl w:val="0"/>
        </w:rPr>
        <w:t xml:space="preserve">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i w:val="1"/>
                <w:color w:val="000000"/>
                <w:sz w:val="29"/>
                <w:szCs w:val="29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від 21 січня 2020 року №1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i w:val="1"/>
                <w:color w:val="000000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i w:val="1"/>
                <w:color w:val="000000"/>
                <w:sz w:val="29"/>
                <w:szCs w:val="29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i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ФАХОВОЇ КВАЛІФІКАЦІЇ ВЧИТЕЛІВ</w:t>
      </w:r>
    </w:p>
    <w:p w:rsidR="00000000" w:rsidDel="00000000" w:rsidP="00000000" w:rsidRDefault="00000000" w:rsidRPr="00000000" w14:paraId="00000015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АНГЛІЙСЬКОЇ МОВИ </w:t>
      </w:r>
    </w:p>
    <w:p w:rsidR="00000000" w:rsidDel="00000000" w:rsidP="00000000" w:rsidRDefault="00000000" w:rsidRPr="00000000" w14:paraId="00000016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«РЕАЛІЗАЦІЯ КОМПЕТЕНТНІСНОГО ТА КОМУНІКАТИВНОГО ПІДХОДІВ НА ЗАНЯТТЯХ АНГЛІЙСЬКОЇ МОВИ»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A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13.0" w:type="dxa"/>
        <w:jc w:val="left"/>
        <w:tblInd w:w="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6753"/>
        <w:tblGridChange w:id="0">
          <w:tblGrid>
            <w:gridCol w:w="3260"/>
            <w:gridCol w:w="6753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Укладачі програми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7" w:right="142" w:hanging="10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Скрипчук Н.В., завідувач відділу іноземних мов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Найменування програми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1" w:lineRule="auto"/>
              <w:ind w:left="88" w:right="14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Програма підвищення кваліфікації учителів англійської мови з теми «Реалізація компетентнісного та комунікативного підходів на заняттях англійської мови»</w:t>
            </w:r>
          </w:p>
        </w:tc>
      </w:tr>
      <w:tr>
        <w:trPr>
          <w:trHeight w:val="76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Мета програми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8" w:right="142" w:hanging="108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Підвищити професійну компетентність учителів англійської мови щодо формування ключових і предметних компетентностей учнів; опанувати практичні методи, прийоми, ефективні форми роботи, які забезпечать умови для створення сучасного освітнього середовища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 </w:t>
            </w:r>
          </w:p>
        </w:tc>
        <w:tc>
          <w:tcPr/>
          <w:p w:rsidR="00000000" w:rsidDel="00000000" w:rsidP="00000000" w:rsidRDefault="00000000" w:rsidRPr="00000000" w14:paraId="00000034">
            <w:pPr>
              <w:shd w:fill="ffffff" w:val="clear"/>
              <w:ind w:left="88" w:right="142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Формування у здобувачів освіти спільних для ключових компетентностей вмінь,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визначених </w:t>
            </w:r>
            <w:hyperlink r:id="rId7">
              <w:r w:rsidDel="00000000" w:rsidR="00000000" w:rsidRPr="00000000">
                <w:rPr>
                  <w:color w:val="000000"/>
                  <w:sz w:val="24"/>
                  <w:szCs w:val="24"/>
                  <w:rtl w:val="0"/>
                </w:rPr>
                <w:t xml:space="preserve">частиною першою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 статті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12 Закону України “Про освіту”</w:t>
            </w:r>
          </w:p>
        </w:tc>
      </w:tr>
    </w:tbl>
    <w:p w:rsidR="00000000" w:rsidDel="00000000" w:rsidP="00000000" w:rsidRDefault="00000000" w:rsidRPr="00000000" w14:paraId="0000003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Зміст програми</w:t>
      </w:r>
    </w:p>
    <w:p w:rsidR="00000000" w:rsidDel="00000000" w:rsidP="00000000" w:rsidRDefault="00000000" w:rsidRPr="00000000" w14:paraId="00000039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1"/>
        <w:gridCol w:w="48"/>
        <w:gridCol w:w="9427"/>
        <w:tblGridChange w:id="0">
          <w:tblGrid>
            <w:gridCol w:w="675"/>
            <w:gridCol w:w="21"/>
            <w:gridCol w:w="48"/>
            <w:gridCol w:w="9427"/>
          </w:tblGrid>
        </w:tblGridChange>
      </w:tblGrid>
      <w:tr>
        <w:trPr>
          <w:trHeight w:val="276" w:hRule="atLeast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Назва та зміст навчального модуля </w:t>
            </w:r>
          </w:p>
        </w:tc>
      </w:tr>
      <w:tr>
        <w:trPr>
          <w:trHeight w:val="317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4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І. Філософія освіти XXІ століття</w:t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4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4B">
            <w:pPr>
              <w:spacing w:before="1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ІІІ. Реалізація компетентнісного підходу в процесі вивчення української мови і літератури</w:t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4F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Інваріантна частина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Організація освітнього процесу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Сучасні технології навчання</w:t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5B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Варіативна частина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0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Методика навчання англійської мови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4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Освітнє середовище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3.5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8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Особистісно-професійний розвиток педагогічних працівників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3.6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C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Проєктна робота на заняттях англійської мови</w:t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6F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Спецкурси </w:t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7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ІV. Діагностико-аналітичний модуль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Модульний контроль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Тематична дискусія </w:t>
            </w:r>
          </w:p>
        </w:tc>
      </w:tr>
    </w:tbl>
    <w:p w:rsidR="00000000" w:rsidDel="00000000" w:rsidP="00000000" w:rsidRDefault="00000000" w:rsidRPr="00000000" w14:paraId="0000007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13.0" w:type="dxa"/>
        <w:jc w:val="left"/>
        <w:tblInd w:w="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6753"/>
        <w:tblGridChange w:id="0">
          <w:tblGrid>
            <w:gridCol w:w="3260"/>
            <w:gridCol w:w="6753"/>
          </w:tblGrid>
        </w:tblGridChange>
      </w:tblGrid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Обсяг програми</w:t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.7322834645671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2,5 кредити ЄКТС (70 аудиторних годин, 5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кваліфікації</w:t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.732283464567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</w:t>
            </w:r>
          </w:p>
          <w:p w:rsidR="00000000" w:rsidDel="00000000" w:rsidP="00000000" w:rsidRDefault="00000000" w:rsidRPr="00000000" w14:paraId="0000008A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Загальні компетентності:</w:t>
            </w:r>
          </w:p>
          <w:p w:rsidR="00000000" w:rsidDel="00000000" w:rsidP="00000000" w:rsidRDefault="00000000" w:rsidRPr="00000000" w14:paraId="0000008D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абстрактного мислення, аналізу та синтезу.</w:t>
            </w:r>
          </w:p>
          <w:p w:rsidR="00000000" w:rsidDel="00000000" w:rsidP="00000000" w:rsidRDefault="00000000" w:rsidRPr="00000000" w14:paraId="0000008E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генерувати нові ідеї (креативність).</w:t>
            </w:r>
          </w:p>
          <w:p w:rsidR="00000000" w:rsidDel="00000000" w:rsidP="00000000" w:rsidRDefault="00000000" w:rsidRPr="00000000" w14:paraId="0000008F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вчитися і оволодівати сучасними знаннями.</w:t>
            </w:r>
          </w:p>
          <w:p w:rsidR="00000000" w:rsidDel="00000000" w:rsidP="00000000" w:rsidRDefault="00000000" w:rsidRPr="00000000" w14:paraId="00000090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мотивувати людей та рухатися до спільної мети. </w:t>
            </w:r>
          </w:p>
          <w:p w:rsidR="00000000" w:rsidDel="00000000" w:rsidP="00000000" w:rsidRDefault="00000000" w:rsidRPr="00000000" w14:paraId="00000091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навчатися упродовж життя.</w:t>
            </w:r>
          </w:p>
          <w:p w:rsidR="00000000" w:rsidDel="00000000" w:rsidP="00000000" w:rsidRDefault="00000000" w:rsidRPr="00000000" w14:paraId="00000092">
            <w:pPr>
              <w:jc w:val="both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Спеціальні (фахові, предметні) компетентності: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активізувати новаторську і пошукову діяльність та потенціал емоційного інтелекту особистості в умовах неформальної та інформальної освіти.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здійснювати ефективну взаємодію з усіма учасниками освітнього процесу.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ефективно взаємодіяти з колегами в моно- та мультидисциплінарних командах.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оцінювати межі власної фахової компетентності та підвищувати професійну кваліфікацію.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дотримуватися у фаховій діяльності норм професійної етики та керуватися загальнолюдськими цінностями.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безперервно оновлювати soft skils, що спрямовані на розвиток конкурентноздатної і успішної особистості.</w:t>
            </w:r>
          </w:p>
        </w:tc>
      </w:tr>
    </w:tbl>
    <w:p w:rsidR="00000000" w:rsidDel="00000000" w:rsidP="00000000" w:rsidRDefault="00000000" w:rsidRPr="00000000" w14:paraId="0000009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pos="216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lang w:bidi="uk-UA" w:eastAsia="uk-UA"/>
    </w:rPr>
  </w:style>
  <w:style w:type="paragraph" w:styleId="1">
    <w:name w:val="heading 1"/>
    <w:basedOn w:val="a"/>
    <w:link w:val="10"/>
    <w:uiPriority w:val="9"/>
    <w:qFormat w:val="1"/>
    <w:rsid w:val="0040576D"/>
    <w:pPr>
      <w:widowControl w:val="1"/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Pr>
      <w:sz w:val="28"/>
      <w:szCs w:val="28"/>
    </w:rPr>
  </w:style>
  <w:style w:type="paragraph" w:styleId="a5">
    <w:name w:val="List Paragraph"/>
    <w:basedOn w:val="a"/>
    <w:uiPriority w:val="99"/>
    <w:qFormat w:val="1"/>
  </w:style>
  <w:style w:type="paragraph" w:styleId="TableParagraph" w:customStyle="1">
    <w:name w:val="Table Paragraph"/>
    <w:basedOn w:val="a"/>
    <w:uiPriority w:val="1"/>
    <w:qFormat w:val="1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Balloon Text"/>
    <w:basedOn w:val="a"/>
    <w:link w:val="a8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a9">
    <w:name w:val="Hyperlink"/>
    <w:basedOn w:val="a0"/>
    <w:uiPriority w:val="99"/>
    <w:unhideWhenUsed w:val="1"/>
    <w:rsid w:val="004C5628"/>
    <w:rPr>
      <w:color w:val="0000ff" w:themeColor="hyperlink"/>
      <w:u w:val="single"/>
    </w:rPr>
  </w:style>
  <w:style w:type="paragraph" w:styleId="Default" w:customStyle="1">
    <w:name w:val="Default"/>
    <w:rsid w:val="007346B5"/>
    <w:pPr>
      <w:widowControl w:val="1"/>
      <w:adjustRightInd w:val="0"/>
    </w:pPr>
    <w:rPr>
      <w:color w:val="000000"/>
      <w:sz w:val="24"/>
      <w:szCs w:val="24"/>
      <w:lang w:val="ru-RU"/>
    </w:rPr>
  </w:style>
  <w:style w:type="character" w:styleId="10" w:customStyle="1">
    <w:name w:val="Заголовок 1 Знак"/>
    <w:basedOn w:val="a0"/>
    <w:link w:val="1"/>
    <w:uiPriority w:val="9"/>
    <w:rsid w:val="0040576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uk-UA" w:val="uk-UA"/>
    </w:rPr>
  </w:style>
  <w:style w:type="character" w:styleId="aa">
    <w:name w:val="Strong"/>
    <w:basedOn w:val="a0"/>
    <w:uiPriority w:val="22"/>
    <w:qFormat w:val="1"/>
    <w:rsid w:val="00013FDD"/>
    <w:rPr>
      <w:b w:val="1"/>
      <w:bCs w:val="1"/>
    </w:rPr>
  </w:style>
  <w:style w:type="paragraph" w:styleId="ab" w:customStyle="1">
    <w:name w:val="Знак Знак"/>
    <w:basedOn w:val="a"/>
    <w:rsid w:val="006F367A"/>
    <w:pPr>
      <w:adjustRightInd w:val="0"/>
    </w:pPr>
    <w:rPr>
      <w:rFonts w:ascii="Verdana" w:cs="Verdana" w:hAnsi="Verdana"/>
      <w:sz w:val="20"/>
      <w:szCs w:val="20"/>
      <w:lang w:bidi="ar-SA" w:eastAsia="en-US" w:val="en-US"/>
    </w:rPr>
  </w:style>
  <w:style w:type="paragraph" w:styleId="ac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</w:tbl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</w:tblPr>
  </w:style>
  <w:style w:type="table" w:styleId="af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akon.rada.gov.ua/laws/show/2145-19#n1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/5TrWf8yhNv5VNWAOx1Duo8cCA==">AMUW2mWZvtsYzur3DmypZgD/9KAW9BW5Q/ahzkRyUUV+YCAuj5zAdJhDWhz4TATkOyhpDEgEb+8sTv7j6M/oq3McHYAj7MCbHbuvvXbVejNMUUQkSOmjaNwqdFJLvRSrWrYvff5dAPvg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2020-02-14T09:15:00Z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