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21 січня 2020 року №1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ПІДВИЩЕННЯ КВАЛІФІКАЦІЇ КЛАСНИХ КЕРІВНИКІВ, ПЕДАГОГІВ-ОРГАНІЗАТОРІВ, СОЦІАЛЬНИХ ПЕДАГОГІВ, ПРАКТИЧНИХ ПСИХОЛОГІВ, ШКІЛЬНИХ КОМАНД ЗАКЛАДІВ ЗАГАЛЬНОЇ СЕРЕДНЬОЇ ОСВІТИ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«РЕАЛІЗАЦІЯ ПЕДАГОГІКИ ПАРТНЕРСТВА В СУЧАСНОМУ ЗАКЛАДІ ОСВІТИ»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(розробник: Шевченко А.М.)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305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8415"/>
        <w:tblGridChange w:id="0">
          <w:tblGrid>
            <w:gridCol w:w="1890"/>
            <w:gridCol w:w="8415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 програми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1" w:right="1328.3858267716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Шевченко А. М.,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кафедри педагогіки, психології та менеджменту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кадрів», кандидат психологічних наук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" w:lineRule="auto"/>
              <w:ind w:left="141" w:right="1328.38582677165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класних керівників, педагогів-організаторів, соціальних педагогів, практичних психологів закладів загальної середньої освіти «Реалізація педагогіки партнерства в сучасному закладі освіти»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1328.3858267716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професійну компетентність педагогічних працівників щодо моделювання партнерської взаємодії педагогів закладу загальної середньої освіти, учнів та їхніх батьків.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1328.3858267716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освіти спільних для ключових компетентностей вмінь, визначених частиною першою статті 12 Закону України «Про освіту»</w:t>
            </w:r>
          </w:p>
        </w:tc>
      </w:tr>
    </w:tbl>
    <w:p w:rsidR="00000000" w:rsidDel="00000000" w:rsidP="00000000" w:rsidRDefault="00000000" w:rsidRPr="00000000" w14:paraId="0000003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03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8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Педагогіка партнерства як основа розвитку суб’єктів освітньої діяльності в умовах нової української школи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Педагогіка партнерства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5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Психолого-педагогічний супровід освітнього процесу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Новій українській школі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Інноватика в освіті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60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5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Освітнє середовище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Особистісно-професійний розвиток педагогічних працівників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Демократичне врядування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Педагогічні технології Нової української школи 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74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7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08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94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застосовувати знання у практичних ситуаціях.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вчитися і оволодівати сучасними знаннями.</w:t>
              <w:tab/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міжособистісної взаємодії.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бути критичним та самокритичним.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діяти на основі етичних міркувань (мотивів).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вивчати, аналізувати та застосовувати під час планування освітнього процесу професійну інформацію, яка представлена в літературі, на електронних носіях, на Web-сервісах тощо.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організації співпраці з батьками в різних формах взаємодії.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збереження, дотримання та розвиток встановлених в організації (установі) правил, цінностей та традицій.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усвідомлення своєї ролі як педагога, системи цінностей, мети та завдань професійної діяльності вчителя.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аналізу власної професійної діяльності щодо реалізації поставлених цілей та завдань.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самооцінювання результатів педагогічних впливів із забезпечення якості діяльності з навчання, розвитку й виховання здобувачів освіти.</w:t>
            </w:r>
          </w:p>
        </w:tc>
      </w:tr>
    </w:tbl>
    <w:p w:rsidR="00000000" w:rsidDel="00000000" w:rsidP="00000000" w:rsidRDefault="00000000" w:rsidRPr="00000000" w14:paraId="000000A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2160"/>
        </w:tabs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/>
      <w:pgMar w:bottom="1134" w:top="1134" w:left="1701" w:right="851" w:header="709" w:footer="709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autoSpaceDE w:val="1"/>
      <w:autoSpaceDN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A763C1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rPr>
      <w:sz w:val="28"/>
      <w:szCs w:val="28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Balloon Text"/>
    <w:basedOn w:val="a"/>
    <w:link w:val="a8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9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a">
    <w:name w:val="Strong"/>
    <w:basedOn w:val="a0"/>
    <w:uiPriority w:val="22"/>
    <w:qFormat w:val="1"/>
    <w:rsid w:val="00013FDD"/>
    <w:rPr>
      <w:b w:val="1"/>
      <w:bCs w:val="1"/>
    </w:rPr>
  </w:style>
  <w:style w:type="character" w:styleId="30" w:customStyle="1">
    <w:name w:val="Заголовок 3 Знак"/>
    <w:basedOn w:val="a0"/>
    <w:link w:val="3"/>
    <w:uiPriority w:val="9"/>
    <w:rsid w:val="00A763C1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bidi="uk-UA" w:eastAsia="uk-UA" w:val="uk-UA"/>
    </w:rPr>
  </w:style>
  <w:style w:type="character" w:styleId="a4" w:customStyle="1">
    <w:name w:val="Основной текст Знак"/>
    <w:basedOn w:val="a0"/>
    <w:link w:val="a3"/>
    <w:uiPriority w:val="1"/>
    <w:rsid w:val="00775B1A"/>
    <w:rPr>
      <w:rFonts w:ascii="Times New Roman" w:cs="Times New Roman" w:eastAsia="Times New Roman" w:hAnsi="Times New Roman"/>
      <w:sz w:val="28"/>
      <w:szCs w:val="28"/>
      <w:lang w:bidi="uk-UA"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rfPgoiPUY9sEfHaJiXyUXdmiQ==">AMUW2mUa+8YwKDcemxYX9lhjA2fdvbzDVcMH5ZA3eVSfb234uTGVJrQp00EjExYlfffK5z8NpCfqeqfMdHll200LqkFzjlzT0RwKors1DatvkEAAps+LMr8d4GPISo2fyrX/KdaAem5F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