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4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</w:t>
      </w:r>
    </w:p>
    <w:p w:rsidR="00000000" w:rsidDel="00000000" w:rsidP="00000000" w:rsidRDefault="00000000" w:rsidRPr="00000000" w14:paraId="00000002">
      <w:pPr>
        <w:ind w:right="4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ПЕДАГОГІЧНИХ КАДРІВ»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lineRule="auto"/>
              <w:rPr>
                <w:sz w:val="29"/>
                <w:szCs w:val="29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sz w:val="29"/>
                <w:szCs w:val="2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240" w:lineRule="auto"/>
              <w:rPr>
                <w:sz w:val="29"/>
                <w:szCs w:val="29"/>
              </w:rPr>
            </w:pPr>
            <w:r w:rsidDel="00000000" w:rsidR="00000000" w:rsidRPr="00000000">
              <w:rPr>
                <w:sz w:val="29"/>
                <w:szCs w:val="29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8">
            <w:pPr>
              <w:spacing w:after="240" w:lineRule="auto"/>
              <w:rPr>
                <w:sz w:val="29"/>
                <w:szCs w:val="29"/>
              </w:rPr>
            </w:pPr>
            <w:r w:rsidDel="00000000" w:rsidR="00000000" w:rsidRPr="00000000">
              <w:rPr>
                <w:sz w:val="29"/>
                <w:szCs w:val="29"/>
                <w:rtl w:val="0"/>
              </w:rPr>
              <w:t xml:space="preserve">від 21 січня 2020 року №1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7" w:lineRule="auto"/>
              <w:rPr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B">
            <w:pPr>
              <w:spacing w:after="240" w:lineRule="auto"/>
              <w:rPr>
                <w:sz w:val="29"/>
                <w:szCs w:val="29"/>
              </w:rPr>
            </w:pPr>
            <w:r w:rsidDel="00000000" w:rsidR="00000000" w:rsidRPr="00000000">
              <w:rPr>
                <w:sz w:val="29"/>
                <w:szCs w:val="29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C">
            <w:pPr>
              <w:spacing w:after="240" w:lineRule="auto"/>
              <w:rPr>
                <w:sz w:val="29"/>
                <w:szCs w:val="29"/>
              </w:rPr>
            </w:pPr>
            <w:r w:rsidDel="00000000" w:rsidR="00000000" w:rsidRPr="00000000">
              <w:rPr>
                <w:sz w:val="29"/>
                <w:szCs w:val="29"/>
                <w:rtl w:val="0"/>
              </w:rPr>
              <w:t xml:space="preserve">від 22 січня 2020 року №13/1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МЕТОДИСТІВ, </w:t>
      </w:r>
    </w:p>
    <w:p w:rsidR="00000000" w:rsidDel="00000000" w:rsidP="00000000" w:rsidRDefault="00000000" w:rsidRPr="00000000" w14:paraId="00000016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ПЕДАГОГІВ-ОРГАНІЗАТОРІВ, КЕРІВНИКІВ ГУРТКІВ ЗАКЛАДІВ ПОЗАШКІЛЬНОЇ ОСВІТИ</w:t>
      </w:r>
      <w:r w:rsidDel="00000000" w:rsidR="00000000" w:rsidRPr="00000000">
        <w:rPr>
          <w:b w:val="1"/>
          <w:sz w:val="28"/>
          <w:szCs w:val="28"/>
          <w:rtl w:val="0"/>
        </w:rPr>
        <w:t xml:space="preserve"> «НАЦІОНАЛЬНО-ПАТРІОТИЧНЕ ВИХОВАННЯ ДІТЕЙ ТА УЧНІВСЬКОЇ МОЛОДІ ЗАСОБАМИ ПОЗАШКІЛЬНОЇ ОСВІТИ»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70.0" w:type="dxa"/>
        <w:jc w:val="left"/>
        <w:tblInd w:w="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7195"/>
        <w:tblGridChange w:id="0">
          <w:tblGrid>
            <w:gridCol w:w="2775"/>
            <w:gridCol w:w="7195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0" w:hanging="3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Гаврилюк В.Ю.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методист відділу виховної роботи та позашкільної освіти,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107" w:right="144" w:hanging="3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методистів, педагогів-організаторів, керівників гуртків закладів позашкільної освіти «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Національно-патріотичне виховання дітей та учнівської молоді засобами позашкільної освіти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4" w:right="136" w:firstLine="47.000000000000014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Підвищити професійну компетентність педагогічних працівників щодо 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організації та змісту національно-патріотичного виховання дітей та учнівської молоді засобами позашкільної освіти</w:t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hanging="3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 статті 12 Закону України «Про освіту»</w:t>
            </w:r>
          </w:p>
        </w:tc>
      </w:tr>
    </w:tbl>
    <w:p w:rsidR="00000000" w:rsidDel="00000000" w:rsidP="00000000" w:rsidRDefault="00000000" w:rsidRPr="00000000" w14:paraId="0000003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033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317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3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Національно-патріотичне виховання в умовах освітніх змін і суспільних викликів 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програмно-методичне забезпечення національно-патріотичного виховання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Теоретичні аспекти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національно-патріотичного виховання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Тренінгові технології 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національно-патріотичному вихованні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Військово-патріотичне виховання</w:t>
            </w:r>
          </w:p>
        </w:tc>
      </w:tr>
      <w:tr>
        <w:trPr>
          <w:trHeight w:val="218" w:hRule="atLeast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Народознавства та декоративно-вжиткове мистецтво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6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6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Інформаційно-цифрові технології у національно-патріотичному вихованні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A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Розвиток цінностей Української Хартії вільної людини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E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Компетентності для культури демократії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71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07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08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2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7" w:right="157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 кредити ЄКТС (55 аудиторних годин, 5 годин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7" w:right="1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143" w:firstLine="0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8C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8D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генерувати / продукувати нові виховні технології.</w:t>
            </w:r>
          </w:p>
          <w:p w:rsidR="00000000" w:rsidDel="00000000" w:rsidP="00000000" w:rsidRDefault="00000000" w:rsidRPr="00000000" w14:paraId="0000008E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8F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090">
            <w:pPr>
              <w:tabs>
                <w:tab w:val="left" w:pos="427"/>
              </w:tabs>
              <w:ind w:left="143" w:firstLine="0"/>
              <w:jc w:val="both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pos="427"/>
              </w:tabs>
              <w:ind w:left="143" w:right="138" w:firstLine="0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right="138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right="138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right="138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Готовність до використання / поширення освітніх інновацій та кращих виховних практик національно-патріотичного виховання.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425" w:right="138" w:hanging="42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Здатність до моделювання та реалізації авторських методичних систем національно-патріотичного виховання.</w:t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pos="2160"/>
        </w:tabs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2160"/>
        </w:tabs>
        <w:ind w:right="322"/>
        <w:jc w:val="center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2160"/>
        </w:tabs>
        <w:ind w:right="322"/>
        <w:jc w:val="center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2160"/>
        </w:tabs>
        <w:ind w:right="322"/>
        <w:jc w:val="center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2160"/>
          <w:tab w:val="left" w:pos="10206"/>
        </w:tabs>
        <w:ind w:right="322"/>
        <w:jc w:val="both"/>
        <w:rPr>
          <w:sz w:val="25"/>
          <w:szCs w:val="25"/>
        </w:rPr>
      </w:pPr>
      <w:bookmarkStart w:colFirst="0" w:colLast="0" w:name="_heading=h.tyjcwt" w:id="0"/>
      <w:bookmarkEnd w:id="0"/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2447B"/>
    <w:rPr>
      <w:lang w:bidi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rsid w:val="0042447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sid w:val="0042447B"/>
    <w:rPr>
      <w:sz w:val="28"/>
      <w:szCs w:val="28"/>
    </w:rPr>
  </w:style>
  <w:style w:type="paragraph" w:styleId="a5">
    <w:name w:val="List Paragraph"/>
    <w:basedOn w:val="a"/>
    <w:uiPriority w:val="1"/>
    <w:qFormat w:val="1"/>
    <w:rsid w:val="0042447B"/>
  </w:style>
  <w:style w:type="paragraph" w:styleId="TableParagraph" w:customStyle="1">
    <w:name w:val="Table Paragraph"/>
    <w:basedOn w:val="a"/>
    <w:uiPriority w:val="1"/>
    <w:qFormat w:val="1"/>
    <w:rsid w:val="0042447B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Balloon Text"/>
    <w:basedOn w:val="a"/>
    <w:link w:val="a8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a">
    <w:name w:val="Strong"/>
    <w:basedOn w:val="a0"/>
    <w:uiPriority w:val="22"/>
    <w:qFormat w:val="1"/>
    <w:rsid w:val="00013FDD"/>
    <w:rPr>
      <w:b w:val="1"/>
      <w:bCs w:val="1"/>
    </w:rPr>
  </w:style>
  <w:style w:type="paragraph" w:styleId="ab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</w:tbl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C16474"/>
    <w:rPr>
      <w:color w:val="605e5c"/>
      <w:shd w:color="auto" w:fill="e1dfdd" w:val="clear"/>
    </w:r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2S8lbYmVCsTgsG91AelAScOxrw==">AMUW2mVO5kOchdbUu31mFF/fVK/xJYIUDyH/bTS8UF/NYWAU5fDNsQAthFLtQ/O/MxLZiAAdZ9Q65yFpBraxytWreU2wSMNNiU9+ssyQSYZG8P3HE8QqUkMIlGLpln26sS0M0IjmDOSZ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