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КОМУНАЛЬНИЙ НАВЧАЛЬНИЙ ЗАКЛАД КИЇВСЬКОЇ ОБЛАСНОЇ РАДИ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rPr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ВЧИТЕЛІВ ПОЧАТКОВИХ КЛАСІВ, ВИХОВАТЕЛІВ ГРУП ПОДОВЖЕНОГО ДНЯ ЗАКЛАДІВ ЗАГАЛЬНОЇ СЕРЕДНЬОЇ ОСВІТИ «ФОРМУВАННЯ КОМУНІКАТИВНОЇ КОМПЕТЕНТНОСТІ МОЛОДШОГО ШКОЛЯРА»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(розробники: Ткаченко Л.П., Ткаченко А.О., Романюк О.В.)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7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Ткаченко Л.П.,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відділу початкової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Ткаченко А.О.,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початкової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Романюк О.В.,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початкової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кадрів».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" w:lineRule="auto"/>
              <w:ind w:left="141.732283464567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вчителів початкових класів, вихователів груп подовженого дня закладів загальної середньої освіти «Формування комунікативної компетентності молодшого школяра»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науковий, методичний та практичний рівні професійної компетентності вчителів початкових класів та вихователів груп подовженого дня щодо формування комунікативної компетентності молодшого школяра в умовах реформування системи початкової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3">
            <w:pPr>
              <w:shd w:fill="ffffff" w:val="clear"/>
              <w:ind w:left="141.732283464567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ормування у здобувачів освіти спільних для ключових компетентностей вмінь,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визначених </w:t>
            </w:r>
            <w:hyperlink r:id="rId7">
              <w:r w:rsidDel="00000000" w:rsidR="00000000" w:rsidRPr="00000000">
                <w:rPr>
                  <w:color w:val="000000"/>
                  <w:sz w:val="24"/>
                  <w:szCs w:val="24"/>
                  <w:u w:val="none"/>
                  <w:rtl w:val="0"/>
                </w:rPr>
                <w:t xml:space="preserve">частиною першою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 статті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 Закону України “Про освіту”</w:t>
            </w:r>
          </w:p>
        </w:tc>
      </w:tr>
    </w:tbl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8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A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Читацька компетентність як основа всебічного розвитку молодшого школяра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Нормативно-правове  та  програмно-методичне забезпечення змісту початкової освіти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Новій українській школі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комунікативної компетентності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F">
            <w:pPr>
              <w:keepNext w:val="1"/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Медіаграмотність та критичне мислення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2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Формувальне оцінювання результатів освітньої діяльності учнів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B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Освітнє середовище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Психолого-педагогічний супровід освітнього процесу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Ефективні освітні технології навчання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8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 кредити ЄКТС (70 аудиторних годин, 5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</w:tabs>
              <w:spacing w:after="0" w:before="0" w:line="240" w:lineRule="auto"/>
              <w:ind w:left="372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Знання вікових та індивідуальних особливостей динаміки становлення пізнавальних процесів молодших школярів.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</w:tabs>
              <w:spacing w:after="0" w:before="0" w:line="240" w:lineRule="auto"/>
              <w:ind w:left="372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Знання основних сучасних джерел інформації, у тому числі цифрових.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</w:tabs>
              <w:spacing w:after="0" w:before="0" w:line="240" w:lineRule="auto"/>
              <w:ind w:left="372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Уміння визначати комунікативно спрямовані цілі уроку відповідно до теми та потреб учнів.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</w:tabs>
              <w:spacing w:after="0" w:before="0" w:line="240" w:lineRule="auto"/>
              <w:ind w:left="372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формувати основи комунікативної компетентності молодшого школяра у процесі роботи з дитячою книжкою.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0"/>
              </w:tabs>
              <w:spacing w:after="0" w:before="0" w:line="240" w:lineRule="auto"/>
              <w:ind w:left="372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добирати доцільні методи, форми й засоби навчання та забезпечення взаємодії під час освітнього процесу.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Уміння використовувати сучасний медіапростір для формування комунікативної компетентності молодшого школяра.</w:t>
            </w:r>
          </w:p>
        </w:tc>
      </w:tr>
    </w:tbl>
    <w:p w:rsidR="00000000" w:rsidDel="00000000" w:rsidP="00000000" w:rsidRDefault="00000000" w:rsidRPr="00000000" w14:paraId="0000009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993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у виносці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8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9">
    <w:name w:val="Strong"/>
    <w:basedOn w:val="a0"/>
    <w:uiPriority w:val="22"/>
    <w:qFormat w:val="1"/>
    <w:rsid w:val="00013FD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2145-19#n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nB5t5YVO4TlwrcnWK1vuXLp8mA==">AMUW2mWttJzh3Mrcc5+Ge9Re4kocRBZgre5YquTWNBBCk3MgR0A4GR8HvectWS4xH5aSPx7NepcAKfQtvBBcrtWobDVQIPlwHXRVvojRPhFSPRmpwX3Rsbg=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