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3" w:line="278.00000000000006" w:lineRule="auto"/>
        <w:ind w:right="38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77"/>
        <w:gridCol w:w="1985"/>
        <w:gridCol w:w="3969"/>
        <w:tblGridChange w:id="0">
          <w:tblGrid>
            <w:gridCol w:w="4077"/>
            <w:gridCol w:w="1985"/>
            <w:gridCol w:w="3969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СХВАЛЕНО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Протокол засідання вченої ради КНЗ КОР «КОІПОПК»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 21 січня 2020 року № 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 КНЗ КОР «КОІПОПК»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 22 січня 2020 року №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  <w:rtl w:val="0"/>
              </w:rPr>
              <w:t xml:space="preserve">13/1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6286"/>
        </w:tabs>
        <w:spacing w:line="274" w:lineRule="auto"/>
        <w:ind w:left="622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ОСВІТНЯ ПРОГРАМА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ПІДВИЩЕННЯ КВАЛІФІКАЦІЇ ДИРЕКТОРІВ, ЗАСТУПНИКІВ ДИРЕКТОРІВ З НАВЧАЛЬНО-ВИХОВНОЇ РОБОТИ, НАУКОВО-МЕТОДИЧНОЇ РОБОТИ </w:t>
      </w:r>
    </w:p>
    <w:p w:rsidR="00000000" w:rsidDel="00000000" w:rsidP="00000000" w:rsidRDefault="00000000" w:rsidRPr="00000000" w14:paraId="0000001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«</w:t>
      </w:r>
      <w:r w:rsidDel="00000000" w:rsidR="00000000" w:rsidRPr="00000000">
        <w:rPr>
          <w:b w:val="1"/>
          <w:sz w:val="28"/>
          <w:szCs w:val="28"/>
          <w:rtl w:val="0"/>
        </w:rPr>
        <w:t xml:space="preserve">СИСТЕМА УПРАВЛІННЯ ЯКІСТЮ ОСВІТИ В ЗАКЛАДІ ЗАГАЛЬНОЇ СЕРЕДНЬОЇ ОСВІТИ: СУЧАСНІ РІШЕННЯ</w:t>
      </w:r>
      <w:r w:rsidDel="00000000" w:rsidR="00000000" w:rsidRPr="00000000">
        <w:rPr>
          <w:b w:val="1"/>
          <w:rtl w:val="0"/>
        </w:rPr>
        <w:t xml:space="preserve">»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(розробники: Шевченко А.М., Матушевська О.В.)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Біла Церква – 2020</w:t>
      </w:r>
    </w:p>
    <w:p w:rsidR="00000000" w:rsidDel="00000000" w:rsidP="00000000" w:rsidRDefault="00000000" w:rsidRPr="00000000" w14:paraId="00000027">
      <w:pPr>
        <w:jc w:val="center"/>
        <w:rPr/>
        <w:sectPr>
          <w:pgSz w:h="16840" w:w="11910"/>
          <w:pgMar w:bottom="1134" w:top="1134" w:left="1701" w:right="851" w:header="709" w:footer="709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13.0" w:type="dxa"/>
        <w:jc w:val="left"/>
        <w:tblInd w:w="2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6753"/>
        <w:tblGridChange w:id="0">
          <w:tblGrid>
            <w:gridCol w:w="3260"/>
            <w:gridCol w:w="6753"/>
          </w:tblGrid>
        </w:tblGridChange>
      </w:tblGrid>
      <w:tr>
        <w:trPr>
          <w:trHeight w:val="554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Розробники програми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13" w:right="113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Шевченко А. М.,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завідувач кафедри педагогіки, психології та менеджменту освіти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Комунального навчального закладу Київської обласної ради «Київський обласний інститут післядипломної освіти педагогічних кадрів», кандидат психологічних наук;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13" w:right="113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Матушевська О. В.,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методист відділу музейної освіти та бібліотечної справи,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викладач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кафедри педагогіки, психології та менеджменту освіти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Комунального навчального закладу Київської обласної ради «Київський обласний інститут післядипломної освіти педагогічних кадрів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Найменування програми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left="113" w:right="11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Освітня програма підвищення кваліфікації директорів, заступників директорів з навчально-виховної роботи, науково-методичної роботи «Система управління якістю освіти в закладі загальної середньої освіти: сучасні рішення»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Мета програми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113" w:right="113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Підвищити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рівень управлінської і професійної  компетентності директорів і заступників директорів з навчально-виховної роботи, науково-методичної роботи щодо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розвитку інституційної спроможності закладу освіти для стратегічного управління, управління якістю та персоналом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відповідно до основних напрямів державної політики у галузі освіти, запитів громадянського суспільства, установ і закладів освіти, освітніх потреб споживачів освітніх послуг</w:t>
            </w:r>
          </w:p>
        </w:tc>
      </w:tr>
      <w:tr>
        <w:trPr>
          <w:trHeight w:val="76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Напрям програми </w:t>
            </w:r>
          </w:p>
        </w:tc>
        <w:tc>
          <w:tcPr/>
          <w:bookmarkStart w:colFirst="0" w:colLast="0" w:name="bookmark=id.gjdgxs" w:id="0"/>
          <w:bookmarkEnd w:id="0"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Розвиток управлінської і фахової компетентності керівників закладів освіти та їх заступників;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формування у здобувачів освіти спільних для ключових компетентностей умінь, визначених частиною першою статті 12 Закону України «Про освіту»</w:t>
            </w:r>
          </w:p>
        </w:tc>
      </w:tr>
    </w:tbl>
    <w:p w:rsidR="00000000" w:rsidDel="00000000" w:rsidP="00000000" w:rsidRDefault="00000000" w:rsidRPr="00000000" w14:paraId="0000003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36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Змі</w:t>
      </w:r>
      <w:r w:rsidDel="00000000" w:rsidR="00000000" w:rsidRPr="00000000">
        <w:rPr>
          <w:b w:val="1"/>
          <w:sz w:val="28"/>
          <w:szCs w:val="28"/>
          <w:rtl w:val="0"/>
        </w:rPr>
        <w:t xml:space="preserve">ст програми</w:t>
      </w:r>
    </w:p>
    <w:p w:rsidR="00000000" w:rsidDel="00000000" w:rsidP="00000000" w:rsidRDefault="00000000" w:rsidRPr="00000000" w14:paraId="00000038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7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21"/>
        <w:gridCol w:w="48"/>
        <w:gridCol w:w="8930"/>
        <w:tblGridChange w:id="0">
          <w:tblGrid>
            <w:gridCol w:w="675"/>
            <w:gridCol w:w="21"/>
            <w:gridCol w:w="48"/>
            <w:gridCol w:w="8930"/>
          </w:tblGrid>
        </w:tblGridChange>
      </w:tblGrid>
      <w:tr>
        <w:trPr>
          <w:trHeight w:val="276" w:hRule="atLeast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Назва та зміст навчального модуля </w:t>
            </w:r>
          </w:p>
        </w:tc>
      </w:tr>
      <w:tr>
        <w:trPr>
          <w:trHeight w:val="276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42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І. Філософія освіти XXІ століття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46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4A">
            <w:pPr>
              <w:spacing w:before="1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ІІІ.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Забезпечення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якості освітньої та управлінської діяльності закладу загальної середньої освіти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4E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Інваріантна частина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3">
            <w:pPr>
              <w:jc w:val="both"/>
              <w:rPr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Нормативно-правове  забезпечення діяльності  закладу загальної середньої освіти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7">
            <w:pPr>
              <w:jc w:val="both"/>
              <w:rPr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highlight w:val="white"/>
                <w:rtl w:val="0"/>
              </w:rPr>
              <w:t xml:space="preserve">Розвиток інституційної спроможності закладу освіти для стратегічного управління, управління якістю та персоналом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B">
            <w:pPr>
              <w:jc w:val="both"/>
              <w:rPr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Забезпечення якості освітніх та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управлінських процесів закладу освіти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F">
            <w:pPr>
              <w:rPr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Кадрова, організаційна, академічна, фінансова автономія закладів освіти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3.5.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3">
            <w:pPr>
              <w:rPr>
                <w:i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highlight w:val="white"/>
                <w:rtl w:val="0"/>
              </w:rPr>
              <w:t xml:space="preserve">Управлінська компетентність керівника закладу освіти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7">
            <w:pPr>
              <w:shd w:fill="ffffff" w:val="clear"/>
              <w:rPr>
                <w:i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Кадрова політика. Управління професійним розвитком педагогічних працівників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6A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Варіативна частина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F">
            <w:pPr>
              <w:jc w:val="both"/>
              <w:rPr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highlight w:val="white"/>
                <w:rtl w:val="0"/>
              </w:rPr>
              <w:t xml:space="preserve">Освітнє середовище закладу загальної середньої освіти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3">
            <w:pPr>
              <w:jc w:val="both"/>
              <w:rPr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Дитиноцентризм та педагогіка партнерства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7">
            <w:pPr>
              <w:jc w:val="both"/>
              <w:rPr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Управління, лідерство та відповідальність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3.10.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B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Документаційний супровід функціонування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закладу загальної середньої освіти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 в умовах реформування освітньої галузі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3.11.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F">
            <w:pPr>
              <w:jc w:val="both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Державно-громадське управління закладом загальної середньої освіти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82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Спецкурси 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86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ІV. Діагностико-аналітичний модуль</w:t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Модульний контроль</w:t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Тематична дискусія </w:t>
            </w:r>
          </w:p>
        </w:tc>
      </w:tr>
    </w:tbl>
    <w:p w:rsidR="00000000" w:rsidDel="00000000" w:rsidP="00000000" w:rsidRDefault="00000000" w:rsidRPr="00000000" w14:paraId="0000009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13.0" w:type="dxa"/>
        <w:jc w:val="left"/>
        <w:tblInd w:w="2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6753"/>
        <w:tblGridChange w:id="0">
          <w:tblGrid>
            <w:gridCol w:w="3260"/>
            <w:gridCol w:w="6753"/>
          </w:tblGrid>
        </w:tblGridChange>
      </w:tblGrid>
      <w:tr>
        <w:trPr>
          <w:trHeight w:val="27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Обсяг програми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2,5 кредити ЄКТС (70 аудиторних годин, 5 години – самостійна робота)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підвищення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кваліфікації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hanging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Інституційна (денна)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Результати навчання</w:t>
            </w:r>
          </w:p>
          <w:p w:rsidR="00000000" w:rsidDel="00000000" w:rsidP="00000000" w:rsidRDefault="00000000" w:rsidRPr="00000000" w14:paraId="0000009B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55"/>
              </w:tabs>
              <w:spacing w:after="0" w:before="0" w:line="240" w:lineRule="auto"/>
              <w:ind w:left="470" w:right="113" w:hanging="35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розвитку інституційної спроможності закладу освіти для стратегічного управління, управління якістю та персоналом.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0" w:right="113" w:hanging="35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реалізації управлінських функцій керівника Нової української школи.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470" w:right="113" w:hanging="357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поєднання управління, лідерства та відповідальності; використання тайм-менеджменту і фасилітації в управлінні.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470" w:right="113" w:hanging="357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створення ефективного та безпечного освітнього середовища закладу загальної середньої освіти.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470" w:right="113" w:hanging="35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організації освітніх та управлінських процесів закладу освіти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засадах дитиноцентризму та педагогіки партнерства.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993"/>
              </w:tabs>
              <w:spacing w:after="0" w:before="0" w:line="240" w:lineRule="auto"/>
              <w:ind w:left="470" w:right="113" w:hanging="35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забезпечення якості освітніх та управлінських процесів закладу освіти (створення психолого-педагогічних умов забезпечення якості діяльності педагогічних працівників; розроблення і реалізації стратегії та системи планування діяльності закладу, системи та механізмів забезпечення академічної доброчесності; моніторингу виконання цілей і завдань; розбудови внутрішньої системи забезпечення якості освіти у закладі загальної середньої освіти, вивчення й оцінювання якості освітніх та управлінських процесів у закладі  загальної середньої освіти).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0" w:right="113" w:hanging="35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реалізації організаційних механізмів і технології державно-громадського управління закладом загальної середньої освіти в умовах реформування освітньої галузі в Україні.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0" w:right="113" w:hanging="35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здійснення кадрової політики,  управління професійним розвитком педагогічних працівників.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0" w:right="113" w:hanging="35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забезпечення психологічного здоров’я керівників і педагогічних працівників в умовах становлення концепції Нової української школи.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0" w:right="113" w:hanging="35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Здатність до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ефективного використання в практичній діяльності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технологій особистісного і професійного розвитку персоналу закладу освіти.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55"/>
              </w:tabs>
              <w:spacing w:after="0" w:before="0" w:line="240" w:lineRule="auto"/>
              <w:ind w:left="470" w:right="113" w:hanging="357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реалізації автономії закладу освіти (здійснення правового регулювання трудових відносин працівників у сфері освіти,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вирішення кадрових питань,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ведення кадрового діловодства,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самостійної фінансово-економічної діяльності, розроблення у упровадження освітньої програми закладу загальної середньої освіти).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0" w:right="113" w:hanging="35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Здатність застосовувати отриманні знання, розвинені компетентності у професійній діяльності.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360" w:lineRule="auto"/>
        <w:jc w:val="both"/>
        <w:rPr>
          <w:i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/>
      <w:pgMar w:bottom="280" w:top="1120" w:left="1080" w:right="160" w:header="708" w:footer="708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uiPriority w:val="1"/>
    <w:qFormat w:val="1"/>
    <w:rsid w:val="00E67FB0"/>
    <w:rPr>
      <w:rFonts w:ascii="Times New Roman" w:cs="Times New Roman" w:eastAsia="Times New Roman" w:hAnsi="Times New Roman"/>
      <w:lang w:bidi="uk-UA" w:eastAsia="uk-UA" w:val="uk-UA"/>
    </w:rPr>
  </w:style>
  <w:style w:type="paragraph" w:styleId="1">
    <w:name w:val="heading 1"/>
    <w:basedOn w:val="a"/>
    <w:link w:val="10"/>
    <w:uiPriority w:val="9"/>
    <w:qFormat w:val="1"/>
    <w:rsid w:val="0040576D"/>
    <w:pPr>
      <w:widowControl w:val="1"/>
      <w:autoSpaceDE w:val="1"/>
      <w:autoSpaceDN w:val="1"/>
      <w:spacing w:after="100" w:afterAutospacing="1" w:before="100" w:beforeAutospacing="1"/>
      <w:outlineLvl w:val="0"/>
    </w:pPr>
    <w:rPr>
      <w:b w:val="1"/>
      <w:bCs w:val="1"/>
      <w:kern w:val="36"/>
      <w:sz w:val="48"/>
      <w:szCs w:val="48"/>
      <w:lang w:bidi="ar-SA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FA7F09"/>
    <w:pPr>
      <w:keepNext w:val="1"/>
      <w:keepLines w:val="1"/>
      <w:spacing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686B15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link w:val="a4"/>
    <w:uiPriority w:val="1"/>
    <w:qFormat w:val="1"/>
    <w:rsid w:val="00686B15"/>
    <w:rPr>
      <w:sz w:val="28"/>
      <w:szCs w:val="28"/>
    </w:rPr>
  </w:style>
  <w:style w:type="paragraph" w:styleId="a5">
    <w:name w:val="List Paragraph"/>
    <w:aliases w:val="для моей работы"/>
    <w:basedOn w:val="a"/>
    <w:link w:val="a6"/>
    <w:uiPriority w:val="1"/>
    <w:qFormat w:val="1"/>
    <w:rsid w:val="00686B15"/>
  </w:style>
  <w:style w:type="paragraph" w:styleId="TableParagraph" w:customStyle="1">
    <w:name w:val="Table Paragraph"/>
    <w:basedOn w:val="a"/>
    <w:uiPriority w:val="1"/>
    <w:qFormat w:val="1"/>
    <w:rsid w:val="00686B15"/>
    <w:pPr>
      <w:spacing w:line="262" w:lineRule="exact"/>
      <w:ind w:left="108"/>
    </w:pPr>
  </w:style>
  <w:style w:type="table" w:styleId="a7">
    <w:name w:val="Table Grid"/>
    <w:basedOn w:val="a1"/>
    <w:uiPriority w:val="39"/>
    <w:rsid w:val="00E44F8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Balloon Text"/>
    <w:basedOn w:val="a"/>
    <w:link w:val="a9"/>
    <w:uiPriority w:val="99"/>
    <w:semiHidden w:val="1"/>
    <w:unhideWhenUsed w:val="1"/>
    <w:rsid w:val="00E5090C"/>
    <w:rPr>
      <w:rFonts w:ascii="Segoe UI" w:cs="Segoe UI" w:hAnsi="Segoe UI"/>
      <w:sz w:val="18"/>
      <w:szCs w:val="18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E5090C"/>
    <w:rPr>
      <w:rFonts w:ascii="Segoe UI" w:cs="Segoe UI" w:eastAsia="Times New Roman" w:hAnsi="Segoe UI"/>
      <w:sz w:val="18"/>
      <w:szCs w:val="18"/>
      <w:lang w:bidi="uk-UA" w:eastAsia="uk-UA" w:val="uk-UA"/>
    </w:rPr>
  </w:style>
  <w:style w:type="character" w:styleId="aa">
    <w:name w:val="Hyperlink"/>
    <w:basedOn w:val="a0"/>
    <w:uiPriority w:val="99"/>
    <w:unhideWhenUsed w:val="1"/>
    <w:rsid w:val="004C5628"/>
    <w:rPr>
      <w:color w:val="0000ff" w:themeColor="hyperlink"/>
      <w:u w:val="single"/>
    </w:rPr>
  </w:style>
  <w:style w:type="paragraph" w:styleId="Default" w:customStyle="1">
    <w:name w:val="Default"/>
    <w:rsid w:val="007346B5"/>
    <w:pPr>
      <w:widowControl w:val="1"/>
      <w:adjustRightInd w:val="0"/>
    </w:pPr>
    <w:rPr>
      <w:rFonts w:ascii="Times New Roman" w:cs="Times New Roman" w:hAnsi="Times New Roman"/>
      <w:color w:val="000000"/>
      <w:sz w:val="24"/>
      <w:szCs w:val="24"/>
      <w:lang w:val="ru-RU"/>
    </w:rPr>
  </w:style>
  <w:style w:type="character" w:styleId="10" w:customStyle="1">
    <w:name w:val="Заголовок 1 Знак"/>
    <w:basedOn w:val="a0"/>
    <w:link w:val="1"/>
    <w:uiPriority w:val="9"/>
    <w:rsid w:val="0040576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uk-UA" w:val="uk-UA"/>
    </w:rPr>
  </w:style>
  <w:style w:type="character" w:styleId="ab">
    <w:name w:val="Strong"/>
    <w:basedOn w:val="a0"/>
    <w:uiPriority w:val="22"/>
    <w:qFormat w:val="1"/>
    <w:rsid w:val="00013FDD"/>
    <w:rPr>
      <w:b w:val="1"/>
      <w:bCs w:val="1"/>
    </w:rPr>
  </w:style>
  <w:style w:type="character" w:styleId="a6" w:customStyle="1">
    <w:name w:val="Абзац списка Знак"/>
    <w:aliases w:val="для моей работы Знак"/>
    <w:link w:val="a5"/>
    <w:uiPriority w:val="1"/>
    <w:locked w:val="1"/>
    <w:rsid w:val="00346BFD"/>
    <w:rPr>
      <w:rFonts w:ascii="Times New Roman" w:cs="Times New Roman" w:eastAsia="Times New Roman" w:hAnsi="Times New Roman"/>
      <w:lang w:bidi="uk-UA" w:eastAsia="uk-UA" w:val="uk-UA"/>
    </w:rPr>
  </w:style>
  <w:style w:type="character" w:styleId="30" w:customStyle="1">
    <w:name w:val="Заголовок 3 Знак"/>
    <w:basedOn w:val="a0"/>
    <w:link w:val="3"/>
    <w:uiPriority w:val="9"/>
    <w:semiHidden w:val="1"/>
    <w:rsid w:val="00FA7F09"/>
    <w:rPr>
      <w:rFonts w:asciiTheme="majorHAnsi" w:cstheme="majorBidi" w:eastAsiaTheme="majorEastAsia" w:hAnsiTheme="majorHAnsi"/>
      <w:b w:val="1"/>
      <w:bCs w:val="1"/>
      <w:color w:val="4f81bd" w:themeColor="accent1"/>
      <w:lang w:bidi="uk-UA" w:eastAsia="uk-UA" w:val="uk-UA"/>
    </w:rPr>
  </w:style>
  <w:style w:type="character" w:styleId="a4" w:customStyle="1">
    <w:name w:val="Основной текст Знак"/>
    <w:basedOn w:val="a0"/>
    <w:link w:val="a3"/>
    <w:uiPriority w:val="1"/>
    <w:rsid w:val="00AF2F81"/>
    <w:rPr>
      <w:rFonts w:ascii="Times New Roman" w:cs="Times New Roman" w:eastAsia="Times New Roman" w:hAnsi="Times New Roman"/>
      <w:sz w:val="28"/>
      <w:szCs w:val="28"/>
      <w:lang w:bidi="uk-UA" w:eastAsia="uk-UA" w:val="uk-UA"/>
    </w:rPr>
  </w:style>
  <w:style w:type="character" w:styleId="ac">
    <w:name w:val="Emphasis"/>
    <w:basedOn w:val="a0"/>
    <w:uiPriority w:val="20"/>
    <w:qFormat w:val="1"/>
    <w:rsid w:val="00E669BA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3YbW3YNWMideQz08oNA37K9uaQ==">AMUW2mUKCd01aiwxQfGgeej5KkjIwI+tPTVJ5blVi/yqTGmX042lWeRYFCr3oFQeBIR9Od6Ymtgr9uGUzzs95JaeOM9URoXlLW50hInER6GGuBe2uOVKAdijquis27TRbJrkaEQy/A3M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2020-02-14T09:15:00Z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