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601A7">
      <w:pPr>
        <w:jc w:val="center"/>
      </w:pPr>
      <w:r w:rsidRPr="00E44F8B">
        <w:rPr>
          <w:w w:val="105"/>
        </w:rPr>
        <w:t xml:space="preserve">КОМУНАЛЬНИЙ </w:t>
      </w:r>
      <w:r w:rsidR="00E44F8B"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 w:rsidR="00E44F8B"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 w:rsidR="00E44F8B">
        <w:rPr>
          <w:w w:val="105"/>
        </w:rPr>
        <w:t>КИЇВСЬКИЙ ОБЛАСНИЙ ІНСТИТУТ ПІСЛЯДИПЛОМНОЇ ОСВІТИ ПЕДАГОГІЧНИХ КАДРІВ»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___ січня 2020 року №</w:t>
            </w:r>
            <w:r w:rsidR="00E601A7">
              <w:t> </w:t>
            </w:r>
            <w:r>
              <w:t xml:space="preserve">5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___ січня 2020 року №</w:t>
            </w:r>
            <w:r w:rsidR="00E601A7">
              <w:t> </w:t>
            </w:r>
            <w:r w:rsidRPr="00E44F8B">
              <w:t>5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E601A7" w:rsidRDefault="00E601A7">
      <w:pPr>
        <w:pStyle w:val="a3"/>
        <w:rPr>
          <w:sz w:val="30"/>
        </w:rPr>
      </w:pPr>
    </w:p>
    <w:p w:rsidR="00E601A7" w:rsidRDefault="00E601A7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8D1BA5" w:rsidRDefault="00140076" w:rsidP="00E601A7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</w:t>
      </w:r>
      <w:r w:rsidR="008D1BA5">
        <w:rPr>
          <w:b/>
          <w:sz w:val="28"/>
          <w:szCs w:val="28"/>
        </w:rPr>
        <w:t>ФАХОВОЇ</w:t>
      </w:r>
      <w:r w:rsidR="008D1BA5" w:rsidRPr="00140076">
        <w:rPr>
          <w:b/>
          <w:sz w:val="28"/>
          <w:szCs w:val="28"/>
        </w:rPr>
        <w:t xml:space="preserve"> </w:t>
      </w:r>
      <w:r w:rsidRPr="00140076">
        <w:rPr>
          <w:b/>
          <w:sz w:val="28"/>
          <w:szCs w:val="28"/>
        </w:rPr>
        <w:t xml:space="preserve">КВАЛІФІКАЦІЇ </w:t>
      </w:r>
    </w:p>
    <w:p w:rsidR="000029A5" w:rsidRDefault="00E601A7" w:rsidP="00E601A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ВЧИТЕЛІВ ХІМІЇ </w:t>
      </w:r>
    </w:p>
    <w:p w:rsidR="000029A5" w:rsidRPr="00E601A7" w:rsidRDefault="000029A5">
      <w:pPr>
        <w:pStyle w:val="a3"/>
        <w:rPr>
          <w:b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976390" w:rsidRDefault="00976390">
      <w:pPr>
        <w:pStyle w:val="a3"/>
        <w:rPr>
          <w:sz w:val="30"/>
        </w:rPr>
      </w:pPr>
    </w:p>
    <w:p w:rsidR="00976390" w:rsidRDefault="00976390">
      <w:pPr>
        <w:pStyle w:val="a3"/>
        <w:rPr>
          <w:sz w:val="30"/>
        </w:rPr>
      </w:pPr>
    </w:p>
    <w:p w:rsidR="00976390" w:rsidRDefault="00976390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p w:rsidR="008D1BA5" w:rsidRDefault="008D1BA5">
      <w:pPr>
        <w:rPr>
          <w:sz w:val="16"/>
          <w:szCs w:val="16"/>
        </w:rPr>
      </w:pPr>
    </w:p>
    <w:tbl>
      <w:tblPr>
        <w:tblStyle w:val="a5"/>
        <w:tblpPr w:leftFromText="180" w:rightFromText="180" w:vertAnchor="text" w:horzAnchor="margin" w:tblpY="177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567"/>
        <w:gridCol w:w="567"/>
        <w:gridCol w:w="567"/>
        <w:gridCol w:w="567"/>
      </w:tblGrid>
      <w:tr w:rsidR="008D1BA5" w:rsidRPr="00DD2361" w:rsidTr="008D1BA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</w:p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Назва та зміст навчального модуля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BA5" w:rsidRPr="0027065F" w:rsidRDefault="008D1BA5" w:rsidP="008D1BA5">
            <w:pPr>
              <w:ind w:left="113" w:right="113"/>
              <w:jc w:val="center"/>
              <w:rPr>
                <w:b/>
              </w:rPr>
            </w:pPr>
            <w:r w:rsidRPr="0027065F">
              <w:rPr>
                <w:b/>
              </w:rPr>
              <w:t>Всього годин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Аудиторні</w:t>
            </w:r>
          </w:p>
        </w:tc>
      </w:tr>
      <w:tr w:rsidR="008D1BA5" w:rsidRPr="00DD2361" w:rsidTr="0027065F">
        <w:trPr>
          <w:trHeight w:val="12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5" w:rsidRPr="00DD2361" w:rsidRDefault="008D1BA5" w:rsidP="008D1BA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5" w:rsidRPr="00DD2361" w:rsidRDefault="008D1BA5" w:rsidP="008D1BA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A5" w:rsidRPr="00DD2361" w:rsidRDefault="008D1BA5" w:rsidP="008D1BA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BA5" w:rsidRPr="0027065F" w:rsidRDefault="008D1BA5" w:rsidP="008D1BA5">
            <w:pPr>
              <w:jc w:val="center"/>
              <w:rPr>
                <w:b/>
                <w:bCs/>
              </w:rPr>
            </w:pPr>
            <w:r w:rsidRPr="0027065F">
              <w:rPr>
                <w:b/>
                <w:bCs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BA5" w:rsidRPr="0027065F" w:rsidRDefault="008D1BA5" w:rsidP="008D1BA5">
            <w:pPr>
              <w:jc w:val="center"/>
              <w:rPr>
                <w:b/>
                <w:bCs/>
              </w:rPr>
            </w:pPr>
            <w:r w:rsidRPr="0027065F">
              <w:rPr>
                <w:b/>
                <w:bCs/>
              </w:rPr>
              <w:t>Семінари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1BA5" w:rsidRPr="0027065F" w:rsidRDefault="008D1BA5" w:rsidP="008D1BA5">
            <w:pPr>
              <w:jc w:val="center"/>
              <w:rPr>
                <w:b/>
                <w:bCs/>
              </w:rPr>
            </w:pPr>
            <w:r w:rsidRPr="0027065F">
              <w:rPr>
                <w:b/>
                <w:bCs/>
              </w:rPr>
              <w:t>Практичні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both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 xml:space="preserve">Модуль І. </w:t>
            </w:r>
            <w:r w:rsidRPr="00DD2361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D2361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DD2361">
              <w:rPr>
                <w:b/>
                <w:spacing w:val="-6"/>
                <w:sz w:val="24"/>
                <w:szCs w:val="24"/>
              </w:rPr>
              <w:t>Модуль ІІІ. Організація освітнього процесу в умовах модернізації шкільної хімічної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D2361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20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D2361">
              <w:rPr>
                <w:bCs/>
                <w:color w:val="010101"/>
                <w:kern w:val="36"/>
                <w:sz w:val="24"/>
                <w:szCs w:val="24"/>
                <w:lang w:eastAsia="ru-RU" w:bidi="ar-SA"/>
              </w:rPr>
              <w:t xml:space="preserve">3.1. </w:t>
            </w:r>
            <w:r w:rsidRPr="00DD2361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Оновлення змісту </w:t>
            </w:r>
            <w:r w:rsidRPr="00DD2361">
              <w:rPr>
                <w:i/>
              </w:rPr>
              <w:t>шкільної</w:t>
            </w:r>
            <w:r w:rsidRPr="00DD2361">
              <w:t xml:space="preserve"> </w:t>
            </w:r>
            <w:r w:rsidRPr="00DD2361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хімічної освіти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t xml:space="preserve">Новий Державний стандарт базової середньої освіти: особливості реалізації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en-US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t xml:space="preserve">Навчально-методичне та програмне забезпечення шкільної хімічної освіти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en-US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t xml:space="preserve">Модернізація освітнього процесу в контексті реалізації концептуальних ідей Нової української школи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en-US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i/>
                <w:sz w:val="24"/>
                <w:szCs w:val="24"/>
              </w:rPr>
            </w:pPr>
            <w:r w:rsidRPr="00DD2361">
              <w:rPr>
                <w:i/>
                <w:spacing w:val="-10"/>
                <w:sz w:val="24"/>
                <w:szCs w:val="24"/>
              </w:rPr>
              <w:t xml:space="preserve">3.2. </w:t>
            </w:r>
            <w:r w:rsidRPr="00DD2361">
              <w:rPr>
                <w:i/>
                <w:sz w:val="24"/>
                <w:szCs w:val="24"/>
              </w:rPr>
              <w:t>Системи оцінювання процесу та результатів навчально-пізнавальної діяльності учнів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8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t>Формувальне оцінювання: мета, умови проведення, інстру</w:t>
            </w: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softHyphen/>
              <w:t>мен</w:t>
            </w:r>
            <w:r w:rsidRPr="00DD2361">
              <w:rPr>
                <w:rFonts w:eastAsia="Calibri"/>
                <w:sz w:val="24"/>
                <w:szCs w:val="24"/>
                <w:lang w:eastAsia="en-US" w:bidi="ar-SA"/>
              </w:rPr>
              <w:softHyphen/>
              <w:t xml:space="preserve">тарій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en-US" w:bidi="ar-SA"/>
              </w:rPr>
              <w:t>(Кабан Л.В.)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DD2361">
              <w:rPr>
                <w:sz w:val="24"/>
                <w:szCs w:val="24"/>
                <w:lang w:eastAsia="ru-RU" w:bidi="ar-SA"/>
              </w:rPr>
              <w:t xml:space="preserve">Особливості підсумкового оцінювання учнів за вимогами навчальних програм </w:t>
            </w:r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DD2361">
              <w:rPr>
                <w:spacing w:val="-4"/>
                <w:sz w:val="24"/>
                <w:szCs w:val="24"/>
              </w:rPr>
              <w:t xml:space="preserve">Моделювання навчального заняття з елементами формувального та підсумкового оцінювання </w:t>
            </w:r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  <w:lang w:eastAsia="ru-RU"/>
              </w:rPr>
              <w:t>3.3. Сучасні технології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ind w:left="0" w:hanging="426"/>
              <w:contextualSpacing/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  <w:lang w:eastAsia="zh-CN"/>
              </w:rPr>
              <w:t xml:space="preserve">Що таке критичне мислення. </w:t>
            </w:r>
            <w:r w:rsidRPr="00DD2361">
              <w:rPr>
                <w:color w:val="313131"/>
                <w:sz w:val="24"/>
                <w:szCs w:val="24"/>
                <w:shd w:val="clear" w:color="auto" w:fill="FFFFFF"/>
                <w:lang w:eastAsia="zh-CN"/>
              </w:rPr>
              <w:t xml:space="preserve">Особливості організації навчання </w:t>
            </w:r>
            <w:r w:rsidRPr="00DD2361">
              <w:rPr>
                <w:bCs/>
                <w:sz w:val="24"/>
                <w:szCs w:val="24"/>
              </w:rPr>
              <w:t>критичного мислення</w:t>
            </w:r>
            <w:r w:rsidRPr="00DD2361">
              <w:rPr>
                <w:sz w:val="24"/>
                <w:szCs w:val="24"/>
              </w:rPr>
              <w:t xml:space="preserve"> </w:t>
            </w:r>
            <w:r w:rsidRPr="00DD2361"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DD2361">
              <w:rPr>
                <w:i/>
                <w:color w:val="FF0000"/>
                <w:sz w:val="24"/>
                <w:szCs w:val="24"/>
              </w:rPr>
              <w:t>Бондарук</w:t>
            </w:r>
            <w:proofErr w:type="spellEnd"/>
            <w:r w:rsidRPr="00DD2361">
              <w:rPr>
                <w:i/>
                <w:color w:val="FF0000"/>
                <w:sz w:val="24"/>
                <w:szCs w:val="24"/>
              </w:rPr>
              <w:t xml:space="preserve"> І.П.)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DD2361">
              <w:rPr>
                <w:spacing w:val="-4"/>
                <w:sz w:val="24"/>
                <w:szCs w:val="24"/>
              </w:rPr>
              <w:t xml:space="preserve">Урок в технології розвитку критичного мислення. Структура і методика уроку. Конструювання знань, умінь та смислів </w:t>
            </w:r>
            <w:r w:rsidR="00A1165F">
              <w:rPr>
                <w:spacing w:val="-4"/>
                <w:sz w:val="24"/>
                <w:szCs w:val="24"/>
              </w:rPr>
              <w:t xml:space="preserve">               </w:t>
            </w:r>
            <w:r w:rsidRPr="00DD2361"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DD2361">
              <w:rPr>
                <w:i/>
                <w:color w:val="FF0000"/>
                <w:sz w:val="24"/>
                <w:szCs w:val="24"/>
              </w:rPr>
              <w:t>Бондарук</w:t>
            </w:r>
            <w:proofErr w:type="spellEnd"/>
            <w:r w:rsidRPr="00DD2361">
              <w:rPr>
                <w:i/>
                <w:color w:val="FF0000"/>
                <w:sz w:val="24"/>
                <w:szCs w:val="24"/>
              </w:rPr>
              <w:t xml:space="preserve"> І.П.)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DD2361">
              <w:rPr>
                <w:spacing w:val="-4"/>
                <w:sz w:val="24"/>
                <w:szCs w:val="24"/>
              </w:rPr>
              <w:t xml:space="preserve">Технологія </w:t>
            </w:r>
            <w:proofErr w:type="spellStart"/>
            <w:r w:rsidRPr="00DD2361">
              <w:rPr>
                <w:spacing w:val="-4"/>
                <w:sz w:val="24"/>
                <w:szCs w:val="24"/>
              </w:rPr>
              <w:t>бриколажу</w:t>
            </w:r>
            <w:proofErr w:type="spellEnd"/>
            <w:r w:rsidRPr="00DD2361">
              <w:rPr>
                <w:spacing w:val="-4"/>
                <w:sz w:val="24"/>
                <w:szCs w:val="24"/>
              </w:rPr>
              <w:t xml:space="preserve">  та її застосування на заняттях хімії </w:t>
            </w:r>
            <w:r w:rsidRPr="00DD2361">
              <w:rPr>
                <w:i/>
                <w:color w:val="FF0000"/>
                <w:spacing w:val="-4"/>
                <w:sz w:val="24"/>
                <w:szCs w:val="24"/>
              </w:rPr>
              <w:t>(</w:t>
            </w:r>
            <w:proofErr w:type="spellStart"/>
            <w:r w:rsidRPr="00DD2361">
              <w:rPr>
                <w:i/>
                <w:color w:val="FF0000"/>
                <w:spacing w:val="-4"/>
                <w:sz w:val="24"/>
                <w:szCs w:val="24"/>
              </w:rPr>
              <w:t>Сотніченко</w:t>
            </w:r>
            <w:proofErr w:type="spellEnd"/>
            <w:r w:rsidRPr="00DD2361">
              <w:rPr>
                <w:i/>
                <w:color w:val="FF0000"/>
                <w:spacing w:val="-4"/>
                <w:sz w:val="24"/>
                <w:szCs w:val="24"/>
              </w:rPr>
              <w:t xml:space="preserve"> І.І.)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both"/>
              <w:rPr>
                <w:b/>
                <w:i/>
                <w:sz w:val="24"/>
                <w:szCs w:val="24"/>
              </w:rPr>
            </w:pPr>
            <w:r w:rsidRPr="00DD2361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</w:rPr>
              <w:t xml:space="preserve">3.4. Діджиталізація </w:t>
            </w:r>
            <w:r>
              <w:rPr>
                <w:i/>
                <w:sz w:val="24"/>
                <w:szCs w:val="24"/>
              </w:rPr>
              <w:t>освітнього процесу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8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  <w:lang w:eastAsia="ru-RU" w:bidi="ar-SA"/>
              </w:rPr>
              <w:t xml:space="preserve">Використання цифрових навчальних сервісів в освітньому середовищі Нової української школи </w:t>
            </w:r>
            <w:r w:rsidRPr="00DD2361">
              <w:rPr>
                <w:color w:val="FF0000"/>
                <w:sz w:val="24"/>
                <w:szCs w:val="24"/>
              </w:rPr>
              <w:t>(</w:t>
            </w:r>
            <w:r w:rsidRPr="00DD2361">
              <w:rPr>
                <w:i/>
                <w:color w:val="FF0000"/>
                <w:sz w:val="24"/>
                <w:szCs w:val="24"/>
              </w:rPr>
              <w:t>Гудима В.М.)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 xml:space="preserve">Використання інтерактивної дошки в освітньому  процесі </w:t>
            </w:r>
            <w:r w:rsidRPr="00DD2361"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DD2361">
              <w:rPr>
                <w:i/>
                <w:color w:val="FF0000"/>
                <w:sz w:val="24"/>
                <w:szCs w:val="24"/>
              </w:rPr>
              <w:t>Мазуркевич</w:t>
            </w:r>
            <w:proofErr w:type="spellEnd"/>
            <w:r w:rsidRPr="00DD2361">
              <w:rPr>
                <w:i/>
                <w:color w:val="FF0000"/>
                <w:sz w:val="24"/>
                <w:szCs w:val="24"/>
              </w:rPr>
              <w:t xml:space="preserve"> І.В.)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both"/>
              <w:rPr>
                <w:spacing w:val="-10"/>
                <w:sz w:val="24"/>
                <w:szCs w:val="24"/>
              </w:rPr>
            </w:pPr>
            <w:r w:rsidRPr="00DD2361">
              <w:t xml:space="preserve">Створення освітнього контенту в онлайн сервісі </w:t>
            </w:r>
            <w:proofErr w:type="spellStart"/>
            <w:r w:rsidRPr="00DD2361">
              <w:t>Mind</w:t>
            </w:r>
            <w:proofErr w:type="spellEnd"/>
            <w:r w:rsidRPr="00DD2361">
              <w:t xml:space="preserve"> </w:t>
            </w:r>
            <w:proofErr w:type="spellStart"/>
            <w:r w:rsidRPr="00DD2361">
              <w:t>map</w:t>
            </w:r>
            <w:proofErr w:type="spellEnd"/>
            <w:r w:rsidRPr="00DD2361">
              <w:t xml:space="preserve"> (інтелект</w:t>
            </w:r>
            <w:r>
              <w:t>-</w:t>
            </w:r>
            <w:r w:rsidRPr="00DD2361">
              <w:t xml:space="preserve"> карти) </w:t>
            </w:r>
            <w:r w:rsidRPr="00DD2361">
              <w:rPr>
                <w:i/>
                <w:color w:val="FF0000"/>
              </w:rPr>
              <w:t>(Коптіла Ю.М.)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i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</w:rPr>
              <w:t xml:space="preserve">3.5. </w:t>
            </w:r>
            <w:r w:rsidRPr="00DD2361">
              <w:rPr>
                <w:i/>
                <w:sz w:val="24"/>
                <w:szCs w:val="24"/>
                <w:lang w:eastAsia="ru-RU"/>
              </w:rPr>
              <w:t>Актуальні питання хімічної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14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3.5.1.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sz w:val="24"/>
                <w:szCs w:val="24"/>
                <w:lang w:eastAsia="ru-RU" w:bidi="ar-SA"/>
              </w:rPr>
              <w:t xml:space="preserve">Сучасна номенклатура неорганічних і органічних речовин </w:t>
            </w:r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>(</w:t>
            </w:r>
            <w:proofErr w:type="spellStart"/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>Сотніченко</w:t>
            </w:r>
            <w:proofErr w:type="spellEnd"/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 xml:space="preserve"> І.І.)</w:t>
            </w:r>
            <w:r w:rsidRPr="00DD2361">
              <w:rPr>
                <w:color w:val="FF0000"/>
                <w:sz w:val="24"/>
                <w:szCs w:val="24"/>
                <w:lang w:eastAsia="ru-RU" w:bidi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r w:rsidRPr="00DD2361">
              <w:rPr>
                <w:sz w:val="24"/>
                <w:szCs w:val="24"/>
              </w:rPr>
              <w:t>3.5.2.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  <w:t xml:space="preserve">Вибрані питання розділу «Загальна хімія», 11 клас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ru-RU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3.5.3.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</w:pPr>
            <w:r w:rsidRPr="00DD2361"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  <w:t xml:space="preserve">Реалізація діяльнісного і компетентнісного підходів під час проведення учнівського хімічного експерименту </w:t>
            </w:r>
            <w:r w:rsidRPr="00DD2361">
              <w:rPr>
                <w:rFonts w:eastAsia="Calibri"/>
                <w:i/>
                <w:color w:val="FF0000"/>
                <w:sz w:val="24"/>
                <w:szCs w:val="24"/>
                <w:lang w:eastAsia="ru-RU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r w:rsidRPr="00DD2361">
              <w:rPr>
                <w:sz w:val="24"/>
                <w:szCs w:val="24"/>
              </w:rPr>
              <w:t>3.5.4.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rFonts w:eastAsia="+mj-ea"/>
                <w:sz w:val="24"/>
                <w:szCs w:val="24"/>
              </w:rPr>
            </w:pPr>
            <w:r w:rsidRPr="00DD2361">
              <w:rPr>
                <w:rFonts w:eastAsia="+mj-ea"/>
                <w:sz w:val="24"/>
                <w:szCs w:val="24"/>
              </w:rPr>
              <w:t xml:space="preserve">Методичні та логічні основи розв’язування розрахункових задач з хімії </w:t>
            </w:r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>Сотніченко</w:t>
            </w:r>
            <w:proofErr w:type="spellEnd"/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 xml:space="preserve"> І.І.)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rFonts w:eastAsia="+mj-ea"/>
                <w:i/>
                <w:sz w:val="24"/>
                <w:szCs w:val="24"/>
              </w:rPr>
            </w:pPr>
            <w:r w:rsidRPr="00DD2361">
              <w:rPr>
                <w:rFonts w:eastAsia="+mj-ea"/>
                <w:i/>
                <w:sz w:val="24"/>
                <w:szCs w:val="24"/>
              </w:rPr>
              <w:t xml:space="preserve">3.6. Підготовка учнів до участі в інтелектуальних конкурсах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3.6.1.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rFonts w:eastAsia="+mj-ea"/>
                <w:spacing w:val="-10"/>
                <w:sz w:val="24"/>
                <w:szCs w:val="24"/>
              </w:rPr>
            </w:pPr>
            <w:r w:rsidRPr="00DD2361">
              <w:rPr>
                <w:sz w:val="24"/>
                <w:szCs w:val="24"/>
                <w:lang w:eastAsia="ru-RU" w:bidi="ar-SA"/>
              </w:rPr>
              <w:t xml:space="preserve">Методика розв’язування </w:t>
            </w:r>
            <w:proofErr w:type="spellStart"/>
            <w:r w:rsidRPr="00DD2361">
              <w:rPr>
                <w:sz w:val="24"/>
                <w:szCs w:val="24"/>
                <w:lang w:eastAsia="ru-RU" w:bidi="ar-SA"/>
              </w:rPr>
              <w:t>олімпіадних</w:t>
            </w:r>
            <w:proofErr w:type="spellEnd"/>
            <w:r w:rsidRPr="00DD2361">
              <w:rPr>
                <w:sz w:val="24"/>
                <w:szCs w:val="24"/>
                <w:lang w:eastAsia="ru-RU" w:bidi="ar-SA"/>
              </w:rPr>
              <w:t xml:space="preserve"> завдань за програмою підготовки учнів до Всеукраїнської учнівської олімпіади з хімії </w:t>
            </w:r>
            <w:r w:rsidRPr="00DD2361">
              <w:rPr>
                <w:i/>
                <w:color w:val="FF0000"/>
                <w:sz w:val="24"/>
                <w:szCs w:val="24"/>
                <w:lang w:eastAsia="ru-RU" w:bidi="ar-SA"/>
              </w:rPr>
              <w:t>(Бобкова О.С.)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lastRenderedPageBreak/>
              <w:t>3.6.2.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keepNext/>
              <w:spacing w:line="228" w:lineRule="auto"/>
              <w:jc w:val="both"/>
              <w:outlineLvl w:val="2"/>
              <w:rPr>
                <w:rFonts w:eastAsia="+mj-ea"/>
                <w:sz w:val="24"/>
                <w:szCs w:val="24"/>
              </w:rPr>
            </w:pPr>
            <w:r w:rsidRPr="00DD2361">
              <w:t xml:space="preserve">Організація науково-дослідницької діяльності учнів  у системі МАН </w:t>
            </w:r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>Сотніченко</w:t>
            </w:r>
            <w:proofErr w:type="spellEnd"/>
            <w:r w:rsidRPr="00DD2361">
              <w:rPr>
                <w:rFonts w:eastAsia="+mj-ea"/>
                <w:i/>
                <w:color w:val="FF0000"/>
                <w:sz w:val="24"/>
                <w:szCs w:val="24"/>
              </w:rPr>
              <w:t xml:space="preserve"> І.І.)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both"/>
              <w:rPr>
                <w:b/>
                <w:i/>
                <w:sz w:val="24"/>
                <w:szCs w:val="24"/>
              </w:rPr>
            </w:pPr>
            <w:r w:rsidRPr="00DD2361">
              <w:rPr>
                <w:b/>
                <w:i/>
                <w:sz w:val="24"/>
                <w:szCs w:val="24"/>
              </w:rPr>
              <w:t>Спецкурси за вибором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both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r w:rsidRPr="00DD2361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proofErr w:type="spellStart"/>
            <w:r w:rsidRPr="00DD2361">
              <w:rPr>
                <w:sz w:val="24"/>
                <w:szCs w:val="24"/>
              </w:rPr>
              <w:t>Настановче</w:t>
            </w:r>
            <w:proofErr w:type="spellEnd"/>
            <w:r w:rsidRPr="00DD2361"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–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spacing w:before="1"/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 xml:space="preserve">Тематична дискусія «Роль учителя та учня в </w:t>
            </w:r>
            <w:proofErr w:type="spellStart"/>
            <w:r w:rsidRPr="00DD2361">
              <w:rPr>
                <w:sz w:val="24"/>
                <w:szCs w:val="24"/>
              </w:rPr>
              <w:t>дитиноцентричній</w:t>
            </w:r>
            <w:proofErr w:type="spellEnd"/>
            <w:r w:rsidRPr="00DD2361">
              <w:rPr>
                <w:sz w:val="24"/>
                <w:szCs w:val="24"/>
              </w:rPr>
              <w:t xml:space="preserve"> моделі освіти»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</w:t>
            </w:r>
          </w:p>
        </w:tc>
      </w:tr>
      <w:tr w:rsidR="008D1BA5" w:rsidRPr="00DD2361" w:rsidTr="008D1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</w:pPr>
            <w:r w:rsidRPr="00DD2361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</w:tr>
      <w:tr w:rsidR="008D1BA5" w:rsidRPr="00DD2361" w:rsidTr="008D1BA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both"/>
              <w:rPr>
                <w:b/>
                <w:i/>
                <w:sz w:val="24"/>
                <w:szCs w:val="24"/>
              </w:rPr>
            </w:pPr>
            <w:r w:rsidRPr="00DD2361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center"/>
              <w:rPr>
                <w:b/>
                <w:sz w:val="24"/>
                <w:szCs w:val="24"/>
              </w:rPr>
            </w:pPr>
            <w:r w:rsidRPr="00DD236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D1BA5" w:rsidRPr="00DD2361" w:rsidRDefault="008D1BA5" w:rsidP="008D1BA5">
            <w:pPr>
              <w:jc w:val="center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60</w:t>
            </w:r>
          </w:p>
        </w:tc>
      </w:tr>
    </w:tbl>
    <w:p w:rsidR="00B51614" w:rsidRPr="0027065F" w:rsidRDefault="00B51614" w:rsidP="00537299">
      <w:pPr>
        <w:jc w:val="center"/>
        <w:rPr>
          <w:b/>
          <w:sz w:val="16"/>
          <w:szCs w:val="16"/>
        </w:rPr>
      </w:pPr>
    </w:p>
    <w:p w:rsidR="00152BAD" w:rsidRDefault="00152BAD" w:rsidP="00537299">
      <w:pPr>
        <w:jc w:val="center"/>
        <w:rPr>
          <w:b/>
          <w:sz w:val="26"/>
          <w:szCs w:val="26"/>
        </w:rPr>
      </w:pPr>
    </w:p>
    <w:p w:rsidR="00152BAD" w:rsidRDefault="00152BAD" w:rsidP="00537299">
      <w:pPr>
        <w:jc w:val="center"/>
        <w:rPr>
          <w:b/>
          <w:sz w:val="26"/>
          <w:szCs w:val="26"/>
        </w:rPr>
      </w:pPr>
    </w:p>
    <w:p w:rsidR="00152BAD" w:rsidRDefault="00152BAD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</w:p>
    <w:p w:rsidR="000854AC" w:rsidRDefault="000854AC" w:rsidP="00537299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152BAD" w:rsidRDefault="00152BAD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p w:rsidR="00AE7524" w:rsidRDefault="00AE7524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512"/>
      </w:tblGrid>
      <w:tr w:rsidR="00AE7524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AE7524" w:rsidRPr="00E56D3D" w:rsidRDefault="00AE7524" w:rsidP="00AE752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 програми</w:t>
            </w:r>
          </w:p>
          <w:p w:rsidR="00AE7524" w:rsidRPr="00E56D3D" w:rsidRDefault="00AE7524" w:rsidP="00AE752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AE7524" w:rsidRPr="00E601A7" w:rsidRDefault="00AE7524" w:rsidP="00AE7524">
            <w:pPr>
              <w:pStyle w:val="TableParagraph"/>
              <w:spacing w:line="265" w:lineRule="exact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E601A7">
              <w:rPr>
                <w:b/>
                <w:i/>
                <w:spacing w:val="-6"/>
                <w:sz w:val="24"/>
                <w:szCs w:val="24"/>
              </w:rPr>
              <w:t>Бобкова</w:t>
            </w:r>
            <w:proofErr w:type="spellEnd"/>
            <w:r w:rsidRPr="00E601A7">
              <w:rPr>
                <w:b/>
                <w:i/>
                <w:spacing w:val="-6"/>
                <w:sz w:val="24"/>
                <w:szCs w:val="24"/>
              </w:rPr>
              <w:t xml:space="preserve"> Олена Степанівна, </w:t>
            </w:r>
            <w:r w:rsidRPr="00E601A7">
              <w:rPr>
                <w:spacing w:val="-6"/>
                <w:sz w:val="24"/>
                <w:szCs w:val="24"/>
              </w:rPr>
              <w:t>методист відділу хімії, біології, екології та основ здоров’я</w:t>
            </w:r>
            <w:r w:rsidRPr="00E601A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601A7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E7524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AE7524" w:rsidRPr="00E56D3D" w:rsidRDefault="00AE7524" w:rsidP="00AE752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512" w:type="dxa"/>
          </w:tcPr>
          <w:p w:rsidR="00AE7524" w:rsidRPr="00DD2361" w:rsidRDefault="00AE7524" w:rsidP="00AE7524">
            <w:pPr>
              <w:spacing w:before="1"/>
              <w:ind w:left="57" w:right="57"/>
              <w:jc w:val="both"/>
              <w:rPr>
                <w:w w:val="105"/>
                <w:sz w:val="24"/>
                <w:szCs w:val="24"/>
              </w:rPr>
            </w:pPr>
            <w:r w:rsidRPr="00DD2361">
              <w:rPr>
                <w:w w:val="105"/>
                <w:sz w:val="24"/>
                <w:szCs w:val="24"/>
              </w:rPr>
              <w:t xml:space="preserve">Освітня програма </w:t>
            </w:r>
            <w:r w:rsidRPr="00DD2361">
              <w:rPr>
                <w:sz w:val="24"/>
                <w:szCs w:val="24"/>
              </w:rPr>
              <w:t xml:space="preserve">підвищення фахової кваліфікації вчителів хімії </w:t>
            </w:r>
            <w:r w:rsidRPr="00DD2361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AE7524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AE7524" w:rsidRPr="00E56D3D" w:rsidRDefault="00AE7524" w:rsidP="00AE75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512" w:type="dxa"/>
          </w:tcPr>
          <w:p w:rsidR="00AE7524" w:rsidRPr="00DD2361" w:rsidRDefault="00AE7524" w:rsidP="00AE7524">
            <w:pPr>
              <w:pStyle w:val="TableParagraph"/>
              <w:spacing w:line="240" w:lineRule="auto"/>
              <w:ind w:left="57" w:right="57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DD2361">
              <w:rPr>
                <w:spacing w:val="-6"/>
                <w:sz w:val="24"/>
                <w:szCs w:val="24"/>
              </w:rPr>
              <w:t>Підвищення рівня професійної компетентності педагогічних праців</w:t>
            </w:r>
            <w:r w:rsidRPr="00DD2361">
              <w:rPr>
                <w:spacing w:val="-6"/>
                <w:sz w:val="24"/>
                <w:szCs w:val="24"/>
              </w:rPr>
              <w:softHyphen/>
              <w:t xml:space="preserve">ників </w:t>
            </w:r>
            <w:r>
              <w:rPr>
                <w:spacing w:val="-6"/>
                <w:sz w:val="24"/>
                <w:szCs w:val="24"/>
              </w:rPr>
              <w:t>в умовах модернізації шкільної хімічної освіти</w:t>
            </w:r>
            <w:r w:rsidRPr="00DD2361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AE7524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AE7524" w:rsidRPr="00E56D3D" w:rsidRDefault="00AE7524" w:rsidP="00AE75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512" w:type="dxa"/>
          </w:tcPr>
          <w:p w:rsidR="00AE7524" w:rsidRPr="00DD2361" w:rsidRDefault="00AE7524" w:rsidP="00AE7524">
            <w:pPr>
              <w:shd w:val="clear" w:color="auto" w:fill="FFFFFF"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  <w:r w:rsidRPr="00DD2361">
              <w:rPr>
                <w:color w:val="000000"/>
                <w:sz w:val="24"/>
                <w:szCs w:val="24"/>
                <w:lang w:eastAsia="ru-RU"/>
              </w:rPr>
              <w:t xml:space="preserve">ормування у здобувачів освіти ключових компетентностей та вмінь, </w:t>
            </w:r>
            <w:r w:rsidRPr="00DD2361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DD2361">
                <w:rPr>
                  <w:rStyle w:val="a8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DD2361">
              <w:rPr>
                <w:sz w:val="24"/>
                <w:szCs w:val="24"/>
                <w:lang w:eastAsia="ru-RU"/>
              </w:rPr>
              <w:t xml:space="preserve"> статті </w:t>
            </w:r>
            <w:r w:rsidRPr="00DD2361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  <w:tr w:rsidR="00152BAD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152BAD" w:rsidRPr="00A539F5" w:rsidRDefault="00152BAD" w:rsidP="00152BAD">
            <w:pPr>
              <w:jc w:val="center"/>
              <w:rPr>
                <w:b/>
                <w:sz w:val="26"/>
                <w:szCs w:val="26"/>
              </w:rPr>
            </w:pPr>
            <w:r w:rsidRPr="00A539F5">
              <w:rPr>
                <w:b/>
                <w:sz w:val="26"/>
                <w:szCs w:val="26"/>
              </w:rPr>
              <w:t>Зміст програми</w:t>
            </w:r>
          </w:p>
          <w:p w:rsidR="00152BAD" w:rsidRDefault="00152BAD" w:rsidP="00AE752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7512" w:type="dxa"/>
          </w:tcPr>
          <w:p w:rsidR="00152BAD" w:rsidRPr="0027065F" w:rsidRDefault="00152BAD" w:rsidP="00152BAD">
            <w:pPr>
              <w:jc w:val="center"/>
              <w:rPr>
                <w:b/>
                <w:sz w:val="8"/>
                <w:szCs w:val="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76"/>
              <w:gridCol w:w="8345"/>
            </w:tblGrid>
            <w:tr w:rsidR="00152BAD" w:rsidRPr="001E6C95" w:rsidTr="00CB3F84">
              <w:trPr>
                <w:trHeight w:val="276"/>
              </w:trPr>
              <w:tc>
                <w:tcPr>
                  <w:tcW w:w="993" w:type="dxa"/>
                  <w:vMerge w:val="restart"/>
                  <w:vAlign w:val="center"/>
                </w:tcPr>
                <w:p w:rsidR="00152BAD" w:rsidRPr="001E6C95" w:rsidRDefault="00152BAD" w:rsidP="00152B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E6C95">
                    <w:rPr>
                      <w:b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9321" w:type="dxa"/>
                  <w:gridSpan w:val="2"/>
                  <w:vMerge w:val="restart"/>
                  <w:vAlign w:val="center"/>
                </w:tcPr>
                <w:p w:rsidR="00152BAD" w:rsidRPr="001E6C95" w:rsidRDefault="00152BAD" w:rsidP="00152BAD">
                  <w:pPr>
                    <w:rPr>
                      <w:b/>
                      <w:sz w:val="24"/>
                      <w:szCs w:val="24"/>
                    </w:rPr>
                  </w:pPr>
                  <w:r w:rsidRPr="001E6C95">
                    <w:rPr>
                      <w:b/>
                      <w:sz w:val="24"/>
                      <w:szCs w:val="24"/>
                    </w:rPr>
                    <w:t>Назва та зміст навчального модуля</w:t>
                  </w:r>
                </w:p>
              </w:tc>
            </w:tr>
            <w:tr w:rsidR="00152BAD" w:rsidRPr="001E6C95" w:rsidTr="00CB3F84">
              <w:trPr>
                <w:trHeight w:val="276"/>
              </w:trPr>
              <w:tc>
                <w:tcPr>
                  <w:tcW w:w="993" w:type="dxa"/>
                  <w:vMerge/>
                </w:tcPr>
                <w:p w:rsidR="00152BAD" w:rsidRPr="001E6C95" w:rsidRDefault="00152BAD" w:rsidP="00152B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21" w:type="dxa"/>
                  <w:gridSpan w:val="2"/>
                  <w:vMerge/>
                </w:tcPr>
                <w:p w:rsidR="00152BAD" w:rsidRPr="001E6C95" w:rsidRDefault="00152BAD" w:rsidP="00152B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BD4B4" w:themeFill="accent6" w:themeFillTint="66"/>
                </w:tcPr>
                <w:p w:rsidR="00152BAD" w:rsidRPr="003F26E0" w:rsidRDefault="00152BAD" w:rsidP="00152BA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F26E0">
                    <w:rPr>
                      <w:b/>
                      <w:sz w:val="24"/>
                      <w:szCs w:val="24"/>
                    </w:rPr>
                    <w:t xml:space="preserve">Модуль І. </w:t>
                  </w:r>
                  <w:r w:rsidRPr="003F26E0">
                    <w:rPr>
                      <w:b/>
                      <w:bCs/>
                      <w:sz w:val="24"/>
                      <w:szCs w:val="24"/>
                    </w:rPr>
                    <w:t xml:space="preserve">Філософія освіти </w:t>
                  </w:r>
                  <w:r w:rsidRPr="003F26E0">
                    <w:rPr>
                      <w:b/>
                      <w:bCs/>
                      <w:sz w:val="24"/>
                      <w:szCs w:val="24"/>
                      <w:lang w:val="en-US"/>
                    </w:rPr>
                    <w:t>XX</w:t>
                  </w:r>
                  <w:r w:rsidRPr="003F26E0">
                    <w:rPr>
                      <w:b/>
                      <w:bCs/>
                      <w:sz w:val="24"/>
                      <w:szCs w:val="24"/>
                    </w:rPr>
                    <w:t>І століття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BD4B4" w:themeFill="accent6" w:themeFillTint="66"/>
                </w:tcPr>
                <w:p w:rsidR="00152BAD" w:rsidRPr="003F26E0" w:rsidRDefault="00152BAD" w:rsidP="00152BAD">
                  <w:pPr>
                    <w:jc w:val="both"/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3F26E0">
                    <w:rPr>
                      <w:b/>
                      <w:spacing w:val="-6"/>
                      <w:sz w:val="24"/>
                      <w:szCs w:val="24"/>
                    </w:rPr>
                    <w:t>Модуль ІІ. Професійний розвиток педагог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 xml:space="preserve">ічних працівників в умовах реформування освіти 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BD4B4" w:themeFill="accent6" w:themeFillTint="66"/>
                </w:tcPr>
                <w:p w:rsidR="00152BAD" w:rsidRPr="00013FDD" w:rsidRDefault="00152BAD" w:rsidP="00152BAD">
                  <w:pPr>
                    <w:spacing w:before="1"/>
                    <w:jc w:val="both"/>
                    <w:rPr>
                      <w:b/>
                      <w:spacing w:val="-6"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ru-RU" w:bidi="ar-SA"/>
                    </w:rPr>
                    <w:t>Модуль </w:t>
                  </w:r>
                  <w:r w:rsidRPr="00A539F5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ru-RU" w:bidi="ar-SA"/>
                    </w:rPr>
                    <w:t xml:space="preserve">ІІІ. </w:t>
                  </w:r>
                  <w:r w:rsidRPr="00DD2361">
                    <w:rPr>
                      <w:b/>
                      <w:spacing w:val="-6"/>
                      <w:sz w:val="24"/>
                      <w:szCs w:val="24"/>
                    </w:rPr>
                    <w:t>Організація освітнього процесу в умовах модернізації шкільної хімічної освіти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2F2F2" w:themeFill="background1" w:themeFillShade="F2"/>
                </w:tcPr>
                <w:p w:rsidR="00152BAD" w:rsidRPr="002F038F" w:rsidRDefault="00152BAD" w:rsidP="00152BAD">
                  <w:pPr>
                    <w:jc w:val="both"/>
                    <w:rPr>
                      <w:b/>
                      <w:i/>
                      <w:spacing w:val="-6"/>
                      <w:sz w:val="24"/>
                      <w:szCs w:val="24"/>
                    </w:rPr>
                  </w:pPr>
                  <w:r w:rsidRPr="002F038F">
                    <w:rPr>
                      <w:b/>
                      <w:i/>
                      <w:spacing w:val="-6"/>
                      <w:sz w:val="24"/>
                      <w:szCs w:val="24"/>
                    </w:rPr>
                    <w:t>Інваріантна частина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403B0B">
                    <w:rPr>
                      <w:spacing w:val="-6"/>
                      <w:sz w:val="24"/>
                      <w:szCs w:val="24"/>
                    </w:rPr>
                    <w:t>3.1</w:t>
                  </w:r>
                  <w:r>
                    <w:rPr>
                      <w:spacing w:val="-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ED2BFE" w:rsidRDefault="00152BAD" w:rsidP="00152BAD">
                  <w:pPr>
                    <w:jc w:val="both"/>
                    <w:rPr>
                      <w:i/>
                      <w:spacing w:val="-6"/>
                      <w:sz w:val="24"/>
                      <w:szCs w:val="24"/>
                    </w:rPr>
                  </w:pPr>
                  <w:r w:rsidRPr="00DD2361">
                    <w:rPr>
                      <w:bCs/>
                      <w:i/>
                      <w:color w:val="010101"/>
                      <w:kern w:val="36"/>
                      <w:sz w:val="24"/>
                      <w:szCs w:val="24"/>
                      <w:lang w:eastAsia="ru-RU" w:bidi="ar-SA"/>
                    </w:rPr>
                    <w:t xml:space="preserve">Оновлення змісту </w:t>
                  </w:r>
                  <w:r w:rsidRPr="00DD2361">
                    <w:rPr>
                      <w:i/>
                    </w:rPr>
                    <w:t>шкільної</w:t>
                  </w:r>
                  <w:r w:rsidRPr="00DD2361">
                    <w:t xml:space="preserve"> </w:t>
                  </w:r>
                  <w:r w:rsidRPr="00DD2361">
                    <w:rPr>
                      <w:bCs/>
                      <w:i/>
                      <w:color w:val="010101"/>
                      <w:kern w:val="36"/>
                      <w:sz w:val="24"/>
                      <w:szCs w:val="24"/>
                      <w:lang w:eastAsia="ru-RU" w:bidi="ar-SA"/>
                    </w:rPr>
                    <w:t>хімічної освіти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403B0B">
                    <w:rPr>
                      <w:spacing w:val="-6"/>
                      <w:sz w:val="24"/>
                      <w:szCs w:val="24"/>
                    </w:rPr>
                    <w:t>3.2</w:t>
                  </w:r>
                  <w:r>
                    <w:rPr>
                      <w:spacing w:val="-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ED2BFE" w:rsidRDefault="00152BAD" w:rsidP="00152BAD">
                  <w:pPr>
                    <w:jc w:val="both"/>
                    <w:rPr>
                      <w:i/>
                      <w:spacing w:val="-6"/>
                      <w:sz w:val="24"/>
                      <w:szCs w:val="24"/>
                    </w:rPr>
                  </w:pPr>
                  <w:r w:rsidRPr="00DD2361">
                    <w:rPr>
                      <w:i/>
                      <w:sz w:val="24"/>
                      <w:szCs w:val="24"/>
                    </w:rPr>
                    <w:t>Системи оцінювання процесу та результатів навчально-пізнавальної діяльності учнів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403B0B">
                    <w:rPr>
                      <w:spacing w:val="-6"/>
                      <w:sz w:val="24"/>
                      <w:szCs w:val="24"/>
                    </w:rPr>
                    <w:t>3.3</w:t>
                  </w:r>
                  <w:r>
                    <w:rPr>
                      <w:spacing w:val="-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ED2BFE" w:rsidRDefault="00152BAD" w:rsidP="00152BAD">
                  <w:pPr>
                    <w:keepNext/>
                    <w:spacing w:line="230" w:lineRule="auto"/>
                    <w:jc w:val="both"/>
                    <w:outlineLvl w:val="2"/>
                    <w:rPr>
                      <w:bCs/>
                      <w:i/>
                      <w:spacing w:val="-10"/>
                      <w:sz w:val="24"/>
                      <w:szCs w:val="24"/>
                    </w:rPr>
                  </w:pPr>
                  <w:r w:rsidRPr="00DD2361">
                    <w:rPr>
                      <w:i/>
                      <w:sz w:val="24"/>
                      <w:szCs w:val="24"/>
                      <w:lang w:eastAsia="ru-RU"/>
                    </w:rPr>
                    <w:t>Сучасні технології навчання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2F2F2" w:themeFill="background1" w:themeFillShade="F2"/>
                </w:tcPr>
                <w:p w:rsidR="00152BAD" w:rsidRPr="008E6220" w:rsidRDefault="00152BAD" w:rsidP="00152BAD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8E6220">
                    <w:rPr>
                      <w:b/>
                      <w:i/>
                      <w:sz w:val="24"/>
                      <w:szCs w:val="24"/>
                    </w:rPr>
                    <w:t>Варіативна частина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403B0B">
                    <w:rPr>
                      <w:spacing w:val="-6"/>
                      <w:sz w:val="24"/>
                      <w:szCs w:val="24"/>
                    </w:rPr>
                    <w:t>3.</w:t>
                  </w:r>
                  <w:r>
                    <w:rPr>
                      <w:spacing w:val="-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5D5883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DD2361">
                    <w:rPr>
                      <w:i/>
                      <w:sz w:val="24"/>
                      <w:szCs w:val="24"/>
                    </w:rPr>
                    <w:t xml:space="preserve">Діджиталізація </w:t>
                  </w:r>
                  <w:r>
                    <w:rPr>
                      <w:i/>
                      <w:sz w:val="24"/>
                      <w:szCs w:val="24"/>
                    </w:rPr>
                    <w:t>освітнього процесу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403B0B">
                    <w:rPr>
                      <w:spacing w:val="-6"/>
                      <w:sz w:val="24"/>
                      <w:szCs w:val="24"/>
                    </w:rPr>
                    <w:t>3.</w:t>
                  </w:r>
                  <w:r>
                    <w:rPr>
                      <w:spacing w:val="-6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5D5883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DD2361">
                    <w:rPr>
                      <w:i/>
                      <w:sz w:val="24"/>
                      <w:szCs w:val="24"/>
                      <w:lang w:eastAsia="ru-RU"/>
                    </w:rPr>
                    <w:t>Актуальні питання хімічної науки</w:t>
                  </w:r>
                </w:p>
              </w:tc>
            </w:tr>
            <w:tr w:rsidR="00152BAD" w:rsidRPr="001E6C95" w:rsidTr="00CB3F84">
              <w:tc>
                <w:tcPr>
                  <w:tcW w:w="993" w:type="dxa"/>
                  <w:shd w:val="clear" w:color="auto" w:fill="auto"/>
                </w:tcPr>
                <w:p w:rsidR="00152BAD" w:rsidRPr="00403B0B" w:rsidRDefault="00152BAD" w:rsidP="00152BAD">
                  <w:pPr>
                    <w:ind w:left="-364"/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      </w:t>
                  </w:r>
                  <w:r w:rsidRPr="00403B0B">
                    <w:rPr>
                      <w:spacing w:val="-6"/>
                      <w:sz w:val="24"/>
                      <w:szCs w:val="24"/>
                    </w:rPr>
                    <w:t>3.</w:t>
                  </w:r>
                  <w:r>
                    <w:rPr>
                      <w:spacing w:val="-6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9321" w:type="dxa"/>
                  <w:gridSpan w:val="2"/>
                  <w:shd w:val="clear" w:color="auto" w:fill="auto"/>
                </w:tcPr>
                <w:p w:rsidR="00152BAD" w:rsidRPr="005D5883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DD2361">
                    <w:rPr>
                      <w:rFonts w:eastAsia="+mj-ea"/>
                      <w:i/>
                      <w:sz w:val="24"/>
                      <w:szCs w:val="24"/>
                    </w:rPr>
                    <w:t>Підготовка учнів до участі в інтелектуальних конкурсах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auto"/>
                </w:tcPr>
                <w:p w:rsidR="00152BAD" w:rsidRPr="00B51614" w:rsidRDefault="00152BAD" w:rsidP="00152BAD">
                  <w:pPr>
                    <w:jc w:val="both"/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B51614">
                    <w:rPr>
                      <w:b/>
                      <w:spacing w:val="-6"/>
                      <w:sz w:val="24"/>
                      <w:szCs w:val="24"/>
                    </w:rPr>
                    <w:t>3.</w:t>
                  </w:r>
                  <w:r>
                    <w:rPr>
                      <w:b/>
                      <w:spacing w:val="-6"/>
                      <w:sz w:val="24"/>
                      <w:szCs w:val="24"/>
                    </w:rPr>
                    <w:t>7</w:t>
                  </w:r>
                  <w:r w:rsidRPr="00B51614">
                    <w:rPr>
                      <w:b/>
                      <w:spacing w:val="-6"/>
                      <w:sz w:val="24"/>
                      <w:szCs w:val="24"/>
                    </w:rPr>
                    <w:t>. </w:t>
                  </w:r>
                  <w:r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ru-RU" w:bidi="ar-SA"/>
                    </w:rPr>
                    <w:t xml:space="preserve">Спецкурси за вибором </w:t>
                  </w:r>
                </w:p>
              </w:tc>
            </w:tr>
            <w:tr w:rsidR="00152BAD" w:rsidRPr="001E6C95" w:rsidTr="00CB3F84">
              <w:tc>
                <w:tcPr>
                  <w:tcW w:w="10314" w:type="dxa"/>
                  <w:gridSpan w:val="3"/>
                  <w:shd w:val="clear" w:color="auto" w:fill="FBD4B4" w:themeFill="accent6" w:themeFillTint="66"/>
                </w:tcPr>
                <w:p w:rsidR="00152BAD" w:rsidRPr="002F038F" w:rsidRDefault="00152BAD" w:rsidP="00152BA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F038F">
                    <w:rPr>
                      <w:b/>
                      <w:sz w:val="24"/>
                      <w:szCs w:val="24"/>
                    </w:rPr>
                    <w:t>Модуль І</w:t>
                  </w:r>
                  <w:r w:rsidRPr="002F038F"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2F038F">
                    <w:rPr>
                      <w:b/>
                      <w:sz w:val="24"/>
                      <w:szCs w:val="24"/>
                    </w:rPr>
                    <w:t>. Діагностико-аналітичний модуль</w:t>
                  </w:r>
                </w:p>
              </w:tc>
            </w:tr>
            <w:tr w:rsidR="00152BAD" w:rsidRPr="001E6C95" w:rsidTr="00CB3F84">
              <w:tc>
                <w:tcPr>
                  <w:tcW w:w="1969" w:type="dxa"/>
                  <w:gridSpan w:val="2"/>
                  <w:shd w:val="clear" w:color="auto" w:fill="auto"/>
                </w:tcPr>
                <w:p w:rsidR="00152BAD" w:rsidRPr="00B51614" w:rsidRDefault="00152BAD" w:rsidP="00152BA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345" w:type="dxa"/>
                  <w:shd w:val="clear" w:color="auto" w:fill="auto"/>
                </w:tcPr>
                <w:p w:rsidR="00152BAD" w:rsidRPr="008D1BA5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8D1BA5">
                    <w:rPr>
                      <w:i/>
                      <w:sz w:val="24"/>
                      <w:szCs w:val="24"/>
                    </w:rPr>
                    <w:t>Настановче</w:t>
                  </w:r>
                  <w:proofErr w:type="spellEnd"/>
                  <w:r w:rsidRPr="008D1BA5">
                    <w:rPr>
                      <w:i/>
                      <w:sz w:val="24"/>
                      <w:szCs w:val="24"/>
                    </w:rPr>
                    <w:t xml:space="preserve"> заняття</w:t>
                  </w:r>
                </w:p>
              </w:tc>
            </w:tr>
            <w:tr w:rsidR="00152BAD" w:rsidRPr="001E6C95" w:rsidTr="00CB3F84">
              <w:tc>
                <w:tcPr>
                  <w:tcW w:w="1969" w:type="dxa"/>
                  <w:gridSpan w:val="2"/>
                  <w:shd w:val="clear" w:color="auto" w:fill="auto"/>
                </w:tcPr>
                <w:p w:rsidR="00152BAD" w:rsidRPr="00B51614" w:rsidRDefault="00152BAD" w:rsidP="00152BA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345" w:type="dxa"/>
                  <w:shd w:val="clear" w:color="auto" w:fill="auto"/>
                </w:tcPr>
                <w:p w:rsidR="00152BAD" w:rsidRPr="00B563A3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563A3">
                    <w:rPr>
                      <w:i/>
                      <w:sz w:val="24"/>
                      <w:szCs w:val="24"/>
                    </w:rPr>
                    <w:t>Тематична дискусія</w:t>
                  </w:r>
                </w:p>
              </w:tc>
            </w:tr>
            <w:tr w:rsidR="00152BAD" w:rsidRPr="001E6C95" w:rsidTr="00CB3F84">
              <w:tc>
                <w:tcPr>
                  <w:tcW w:w="1969" w:type="dxa"/>
                  <w:gridSpan w:val="2"/>
                  <w:shd w:val="clear" w:color="auto" w:fill="auto"/>
                </w:tcPr>
                <w:p w:rsidR="00152BAD" w:rsidRPr="00B51614" w:rsidRDefault="00152BAD" w:rsidP="00152BA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4.3</w:t>
                  </w:r>
                </w:p>
              </w:tc>
              <w:tc>
                <w:tcPr>
                  <w:tcW w:w="8345" w:type="dxa"/>
                  <w:shd w:val="clear" w:color="auto" w:fill="auto"/>
                </w:tcPr>
                <w:p w:rsidR="00152BAD" w:rsidRPr="00B563A3" w:rsidRDefault="00152BAD" w:rsidP="00152BA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563A3">
                    <w:rPr>
                      <w:i/>
                      <w:sz w:val="24"/>
                      <w:szCs w:val="24"/>
                    </w:rPr>
                    <w:t>Модульний контроль</w:t>
                  </w:r>
                </w:p>
              </w:tc>
            </w:tr>
          </w:tbl>
          <w:p w:rsidR="00152BAD" w:rsidRDefault="00152BAD" w:rsidP="00AE7524">
            <w:pPr>
              <w:shd w:val="clear" w:color="auto" w:fill="FFFFFF"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6141" w:rsidRPr="00E56D3D" w:rsidTr="00CC7CEA">
        <w:trPr>
          <w:trHeight w:val="277"/>
        </w:trPr>
        <w:tc>
          <w:tcPr>
            <w:tcW w:w="2836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512" w:type="dxa"/>
          </w:tcPr>
          <w:p w:rsidR="00CC7CEA" w:rsidRDefault="00516141" w:rsidP="00CC7CEA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B03C03">
              <w:rPr>
                <w:spacing w:val="-6"/>
                <w:sz w:val="24"/>
                <w:szCs w:val="24"/>
              </w:rPr>
              <w:t>2</w:t>
            </w:r>
            <w:r w:rsidR="00B03C03" w:rsidRPr="00B03C03">
              <w:rPr>
                <w:spacing w:val="-6"/>
                <w:sz w:val="24"/>
                <w:szCs w:val="24"/>
              </w:rPr>
              <w:t>,5</w:t>
            </w:r>
            <w:r w:rsidR="00CC7CEA">
              <w:rPr>
                <w:spacing w:val="-6"/>
                <w:sz w:val="24"/>
                <w:szCs w:val="24"/>
              </w:rPr>
              <w:t xml:space="preserve"> кредити ЄКТС.</w:t>
            </w:r>
          </w:p>
          <w:p w:rsidR="00CC7CEA" w:rsidRPr="00E56D3D" w:rsidRDefault="00CC7CEA" w:rsidP="00ED2BFE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</w:t>
            </w:r>
            <w:r w:rsidRPr="00DD2361">
              <w:rPr>
                <w:sz w:val="24"/>
                <w:szCs w:val="24"/>
              </w:rPr>
              <w:t xml:space="preserve">енна </w:t>
            </w:r>
            <w:r w:rsidRPr="00DD2361">
              <w:rPr>
                <w:b/>
                <w:sz w:val="24"/>
                <w:szCs w:val="24"/>
              </w:rPr>
              <w:t>75 год.</w:t>
            </w:r>
            <w:r w:rsidRPr="00DD2361">
              <w:rPr>
                <w:sz w:val="24"/>
                <w:szCs w:val="24"/>
              </w:rPr>
              <w:t xml:space="preserve"> </w:t>
            </w:r>
            <w:r w:rsidRPr="00DD2361">
              <w:rPr>
                <w:i/>
                <w:sz w:val="24"/>
                <w:szCs w:val="24"/>
              </w:rPr>
              <w:t>(70 аудит. год.  + 5 год керована самостійна робота),</w:t>
            </w:r>
            <w:r w:rsidRPr="00DD2361">
              <w:rPr>
                <w:sz w:val="24"/>
                <w:szCs w:val="24"/>
              </w:rPr>
              <w:t xml:space="preserve"> очно-заочна </w:t>
            </w:r>
            <w:r w:rsidRPr="00DD2361">
              <w:rPr>
                <w:b/>
                <w:sz w:val="24"/>
                <w:szCs w:val="24"/>
              </w:rPr>
              <w:t>75 год.</w:t>
            </w:r>
            <w:r w:rsidRPr="00DD2361">
              <w:rPr>
                <w:sz w:val="24"/>
                <w:szCs w:val="24"/>
              </w:rPr>
              <w:t xml:space="preserve"> (</w:t>
            </w:r>
            <w:r w:rsidRPr="00DD2361">
              <w:rPr>
                <w:i/>
                <w:sz w:val="24"/>
                <w:szCs w:val="24"/>
              </w:rPr>
              <w:t>48 год аудит. год. + 27 год керована самостійна робота</w:t>
            </w:r>
            <w:r w:rsidRPr="00DD2361">
              <w:rPr>
                <w:sz w:val="24"/>
                <w:szCs w:val="24"/>
              </w:rPr>
              <w:t>)</w:t>
            </w:r>
          </w:p>
        </w:tc>
      </w:tr>
      <w:tr w:rsidR="00516141" w:rsidRPr="00E56D3D" w:rsidTr="00CC7CEA">
        <w:trPr>
          <w:trHeight w:val="551"/>
        </w:trPr>
        <w:tc>
          <w:tcPr>
            <w:tcW w:w="2836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512" w:type="dxa"/>
          </w:tcPr>
          <w:p w:rsidR="00516141" w:rsidRPr="00E56D3D" w:rsidRDefault="00516141" w:rsidP="00ED2BFE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  <w:r w:rsidR="00CC7CEA">
              <w:rPr>
                <w:spacing w:val="-6"/>
                <w:sz w:val="24"/>
                <w:szCs w:val="24"/>
              </w:rPr>
              <w:t>, (очно-заочна).</w:t>
            </w:r>
          </w:p>
        </w:tc>
      </w:tr>
      <w:tr w:rsidR="00516141" w:rsidRPr="00D417F5" w:rsidTr="00CC7CEA">
        <w:trPr>
          <w:trHeight w:val="551"/>
        </w:trPr>
        <w:tc>
          <w:tcPr>
            <w:tcW w:w="2836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0A4091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0A409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7512" w:type="dxa"/>
          </w:tcPr>
          <w:p w:rsidR="00516141" w:rsidRDefault="00516141" w:rsidP="00ED2BFE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proofErr w:type="spellStart"/>
            <w:r w:rsidRPr="00F7440A">
              <w:rPr>
                <w:bCs/>
                <w:i/>
                <w:color w:val="auto"/>
                <w:spacing w:val="-6"/>
              </w:rPr>
              <w:t>Загальні</w:t>
            </w:r>
            <w:proofErr w:type="spellEnd"/>
            <w:r w:rsidRPr="00F7440A">
              <w:rPr>
                <w:bCs/>
                <w:i/>
                <w:color w:val="auto"/>
                <w:spacing w:val="-6"/>
              </w:rPr>
              <w:t xml:space="preserve"> </w:t>
            </w:r>
            <w:proofErr w:type="spellStart"/>
            <w:r w:rsidRPr="00F7440A">
              <w:rPr>
                <w:bCs/>
                <w:i/>
                <w:color w:val="auto"/>
                <w:spacing w:val="-6"/>
              </w:rPr>
              <w:t>компетентності</w:t>
            </w:r>
            <w:proofErr w:type="spellEnd"/>
            <w:r w:rsidRPr="00F7440A">
              <w:rPr>
                <w:bCs/>
                <w:i/>
                <w:color w:val="auto"/>
                <w:spacing w:val="-6"/>
                <w:lang w:val="uk-UA"/>
              </w:rPr>
              <w:t>:</w:t>
            </w:r>
          </w:p>
          <w:p w:rsidR="00CC7CEA" w:rsidRPr="00F7440A" w:rsidRDefault="00CC7CEA" w:rsidP="00ED2BFE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DD2361">
              <w:rPr>
                <w:lang w:val="uk-UA"/>
              </w:rPr>
              <w:t>Здатність дотримуватись вимог нормативно-правових документів, що регламентують організацію освітнього</w:t>
            </w:r>
            <w:r>
              <w:rPr>
                <w:lang w:val="uk-UA"/>
              </w:rPr>
              <w:t xml:space="preserve"> процесу.</w:t>
            </w:r>
          </w:p>
          <w:p w:rsidR="00F7440A" w:rsidRPr="00F7440A" w:rsidRDefault="00B51614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pacing w:val="-6"/>
                <w:sz w:val="24"/>
                <w:szCs w:val="24"/>
              </w:rPr>
              <w:t>Здатність навчатися упродовж життя.</w:t>
            </w:r>
            <w:r w:rsidR="00F7440A" w:rsidRPr="00F7440A">
              <w:rPr>
                <w:spacing w:val="-6"/>
                <w:sz w:val="24"/>
                <w:szCs w:val="24"/>
              </w:rPr>
              <w:t xml:space="preserve"> </w:t>
            </w:r>
          </w:p>
          <w:p w:rsidR="00B51614" w:rsidRPr="00F7440A" w:rsidRDefault="00F7440A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pacing w:val="-6"/>
                <w:sz w:val="24"/>
                <w:szCs w:val="24"/>
              </w:rPr>
              <w:t>Здатність планувати траєкторію власного професійного розвитку.</w:t>
            </w:r>
          </w:p>
          <w:p w:rsidR="00516141" w:rsidRPr="00F7440A" w:rsidRDefault="00516141" w:rsidP="00ED2BFE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  <w:r w:rsidRPr="00F7440A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516141" w:rsidRPr="00F7440A" w:rsidRDefault="00516141" w:rsidP="00405FD7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z w:val="24"/>
                <w:szCs w:val="24"/>
              </w:rPr>
              <w:t xml:space="preserve">Здатність до розроблення </w:t>
            </w:r>
            <w:r w:rsidR="00405FD7" w:rsidRPr="00F7440A">
              <w:rPr>
                <w:sz w:val="24"/>
                <w:szCs w:val="24"/>
              </w:rPr>
              <w:t>інструментарію / дидактичного супроводу освітнього процесу на задану тематику</w:t>
            </w:r>
            <w:r w:rsidR="00F7440A" w:rsidRPr="00F7440A">
              <w:rPr>
                <w:sz w:val="24"/>
                <w:szCs w:val="24"/>
              </w:rPr>
              <w:t xml:space="preserve"> зокрема з використанням цифрових інструментів.</w:t>
            </w:r>
          </w:p>
          <w:p w:rsidR="00F7440A" w:rsidRPr="00CC7CEA" w:rsidRDefault="00F7440A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використання гнучких систем / інструментів оцінювання процесу навчально-пізнавальної діяльності (формувальне оцінювання) та результатів навчально-пізнавальної діяльності (підсумкове оцінювання)</w:t>
            </w:r>
          </w:p>
          <w:p w:rsidR="00CC7CEA" w:rsidRPr="00DD2361" w:rsidRDefault="00CC7CEA" w:rsidP="00CC7CEA">
            <w:pPr>
              <w:pStyle w:val="a4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>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CC7CEA" w:rsidRPr="00CC7CEA" w:rsidRDefault="00CC7CEA" w:rsidP="00CC7CE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CC7CEA">
              <w:rPr>
                <w:sz w:val="24"/>
                <w:szCs w:val="24"/>
              </w:rPr>
              <w:t>Здатність до створення безпечних</w:t>
            </w:r>
            <w:r>
              <w:rPr>
                <w:sz w:val="24"/>
                <w:szCs w:val="24"/>
              </w:rPr>
              <w:t xml:space="preserve"> та</w:t>
            </w:r>
            <w:r w:rsidRPr="00CC7CEA">
              <w:rPr>
                <w:sz w:val="24"/>
                <w:szCs w:val="24"/>
              </w:rPr>
              <w:t xml:space="preserve"> психологічно комфортних </w:t>
            </w:r>
            <w:r w:rsidR="000B0709">
              <w:rPr>
                <w:sz w:val="24"/>
                <w:szCs w:val="24"/>
              </w:rPr>
              <w:t xml:space="preserve">умов </w:t>
            </w:r>
            <w:r>
              <w:rPr>
                <w:sz w:val="24"/>
                <w:szCs w:val="24"/>
              </w:rPr>
              <w:t>освітнього процесу</w:t>
            </w:r>
          </w:p>
        </w:tc>
      </w:tr>
    </w:tbl>
    <w:p w:rsidR="00894EDA" w:rsidRPr="00976390" w:rsidRDefault="00894EDA" w:rsidP="00FA721B">
      <w:pPr>
        <w:jc w:val="both"/>
        <w:rPr>
          <w:spacing w:val="-6"/>
          <w:sz w:val="12"/>
          <w:szCs w:val="12"/>
        </w:rPr>
      </w:pPr>
    </w:p>
    <w:sectPr w:rsidR="00894EDA" w:rsidRPr="00976390" w:rsidSect="00580F08">
      <w:pgSz w:w="11910" w:h="16840"/>
      <w:pgMar w:top="851" w:right="57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554BD"/>
    <w:multiLevelType w:val="hybridMultilevel"/>
    <w:tmpl w:val="3DE00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4312E"/>
    <w:rsid w:val="000475D2"/>
    <w:rsid w:val="00050DDE"/>
    <w:rsid w:val="00052766"/>
    <w:rsid w:val="00064675"/>
    <w:rsid w:val="00071481"/>
    <w:rsid w:val="000854AC"/>
    <w:rsid w:val="000A4091"/>
    <w:rsid w:val="000B0709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52BAD"/>
    <w:rsid w:val="001645AF"/>
    <w:rsid w:val="00167124"/>
    <w:rsid w:val="00175EDF"/>
    <w:rsid w:val="0018719A"/>
    <w:rsid w:val="00191505"/>
    <w:rsid w:val="001E6A06"/>
    <w:rsid w:val="001E6C95"/>
    <w:rsid w:val="001F05F8"/>
    <w:rsid w:val="00216C73"/>
    <w:rsid w:val="00220494"/>
    <w:rsid w:val="00235139"/>
    <w:rsid w:val="00251F22"/>
    <w:rsid w:val="00270499"/>
    <w:rsid w:val="0027065F"/>
    <w:rsid w:val="00281D21"/>
    <w:rsid w:val="002905F1"/>
    <w:rsid w:val="002A0B42"/>
    <w:rsid w:val="002B0190"/>
    <w:rsid w:val="002C00E1"/>
    <w:rsid w:val="002C239B"/>
    <w:rsid w:val="002C6C2D"/>
    <w:rsid w:val="002D6B30"/>
    <w:rsid w:val="002F038F"/>
    <w:rsid w:val="002F5093"/>
    <w:rsid w:val="00304C35"/>
    <w:rsid w:val="00341DA6"/>
    <w:rsid w:val="003506EC"/>
    <w:rsid w:val="003A667B"/>
    <w:rsid w:val="003B05EB"/>
    <w:rsid w:val="003D592B"/>
    <w:rsid w:val="003F26E0"/>
    <w:rsid w:val="00403B0B"/>
    <w:rsid w:val="00403DA5"/>
    <w:rsid w:val="00404A4E"/>
    <w:rsid w:val="0040527C"/>
    <w:rsid w:val="0040576D"/>
    <w:rsid w:val="00405FD7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B56"/>
    <w:rsid w:val="00510804"/>
    <w:rsid w:val="00514BEF"/>
    <w:rsid w:val="00516141"/>
    <w:rsid w:val="00525DA3"/>
    <w:rsid w:val="00537299"/>
    <w:rsid w:val="005401EC"/>
    <w:rsid w:val="0054441C"/>
    <w:rsid w:val="00570F53"/>
    <w:rsid w:val="00573AF8"/>
    <w:rsid w:val="00580F08"/>
    <w:rsid w:val="00582A71"/>
    <w:rsid w:val="0058701B"/>
    <w:rsid w:val="00591030"/>
    <w:rsid w:val="005922D6"/>
    <w:rsid w:val="00592F50"/>
    <w:rsid w:val="005A5268"/>
    <w:rsid w:val="005B2549"/>
    <w:rsid w:val="005C5A80"/>
    <w:rsid w:val="005D2F42"/>
    <w:rsid w:val="005D5883"/>
    <w:rsid w:val="005E2D70"/>
    <w:rsid w:val="006227B5"/>
    <w:rsid w:val="00622908"/>
    <w:rsid w:val="00642421"/>
    <w:rsid w:val="0065095F"/>
    <w:rsid w:val="006955F1"/>
    <w:rsid w:val="006B6867"/>
    <w:rsid w:val="006C5772"/>
    <w:rsid w:val="006D6B5C"/>
    <w:rsid w:val="006E232D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D5520"/>
    <w:rsid w:val="00836956"/>
    <w:rsid w:val="00845FA4"/>
    <w:rsid w:val="00852860"/>
    <w:rsid w:val="00855B72"/>
    <w:rsid w:val="008728AC"/>
    <w:rsid w:val="0087447E"/>
    <w:rsid w:val="00894EDA"/>
    <w:rsid w:val="00894FD3"/>
    <w:rsid w:val="008A70D9"/>
    <w:rsid w:val="008B285E"/>
    <w:rsid w:val="008C3C6F"/>
    <w:rsid w:val="008D1BA5"/>
    <w:rsid w:val="008D7494"/>
    <w:rsid w:val="008E0678"/>
    <w:rsid w:val="008E6220"/>
    <w:rsid w:val="008E7BEF"/>
    <w:rsid w:val="008F174F"/>
    <w:rsid w:val="00915CCA"/>
    <w:rsid w:val="0094230E"/>
    <w:rsid w:val="009513AB"/>
    <w:rsid w:val="009564E0"/>
    <w:rsid w:val="0096774B"/>
    <w:rsid w:val="00976390"/>
    <w:rsid w:val="00991FBA"/>
    <w:rsid w:val="009A12EF"/>
    <w:rsid w:val="009B47FC"/>
    <w:rsid w:val="009C0879"/>
    <w:rsid w:val="009C65E8"/>
    <w:rsid w:val="009F0445"/>
    <w:rsid w:val="009F11D2"/>
    <w:rsid w:val="009F6A13"/>
    <w:rsid w:val="00A1051B"/>
    <w:rsid w:val="00A1165F"/>
    <w:rsid w:val="00A22D05"/>
    <w:rsid w:val="00A447C5"/>
    <w:rsid w:val="00A539F5"/>
    <w:rsid w:val="00A710EE"/>
    <w:rsid w:val="00A73C8E"/>
    <w:rsid w:val="00A81077"/>
    <w:rsid w:val="00A83151"/>
    <w:rsid w:val="00AE7473"/>
    <w:rsid w:val="00AE7524"/>
    <w:rsid w:val="00AE75F2"/>
    <w:rsid w:val="00AF2499"/>
    <w:rsid w:val="00B03C03"/>
    <w:rsid w:val="00B26688"/>
    <w:rsid w:val="00B310F9"/>
    <w:rsid w:val="00B4724F"/>
    <w:rsid w:val="00B4764D"/>
    <w:rsid w:val="00B51614"/>
    <w:rsid w:val="00B563A3"/>
    <w:rsid w:val="00B62146"/>
    <w:rsid w:val="00B73C12"/>
    <w:rsid w:val="00B80898"/>
    <w:rsid w:val="00B94EE3"/>
    <w:rsid w:val="00B96EC7"/>
    <w:rsid w:val="00BA3C31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41285"/>
    <w:rsid w:val="00C433A2"/>
    <w:rsid w:val="00C4427F"/>
    <w:rsid w:val="00C801EF"/>
    <w:rsid w:val="00C80DD4"/>
    <w:rsid w:val="00CA2EA4"/>
    <w:rsid w:val="00CA5B76"/>
    <w:rsid w:val="00CB1551"/>
    <w:rsid w:val="00CC6290"/>
    <w:rsid w:val="00CC6A4F"/>
    <w:rsid w:val="00CC7982"/>
    <w:rsid w:val="00CC7CEA"/>
    <w:rsid w:val="00CF0D46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E00B44"/>
    <w:rsid w:val="00E01E3F"/>
    <w:rsid w:val="00E0209A"/>
    <w:rsid w:val="00E1191B"/>
    <w:rsid w:val="00E375D6"/>
    <w:rsid w:val="00E44F8B"/>
    <w:rsid w:val="00E5045D"/>
    <w:rsid w:val="00E5090C"/>
    <w:rsid w:val="00E56D3D"/>
    <w:rsid w:val="00E601A7"/>
    <w:rsid w:val="00E678EB"/>
    <w:rsid w:val="00E86C9F"/>
    <w:rsid w:val="00E9501B"/>
    <w:rsid w:val="00EA2125"/>
    <w:rsid w:val="00ED2BFE"/>
    <w:rsid w:val="00EE38BE"/>
    <w:rsid w:val="00F046C9"/>
    <w:rsid w:val="00F125C3"/>
    <w:rsid w:val="00F26585"/>
    <w:rsid w:val="00F278C2"/>
    <w:rsid w:val="00F3463C"/>
    <w:rsid w:val="00F51F63"/>
    <w:rsid w:val="00F52BCB"/>
    <w:rsid w:val="00F71BEE"/>
    <w:rsid w:val="00F73E04"/>
    <w:rsid w:val="00F7440A"/>
    <w:rsid w:val="00F75DE5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B0AE-8198-4D45-A64C-06559C5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Andriy</cp:lastModifiedBy>
  <cp:revision>130</cp:revision>
  <cp:lastPrinted>2020-02-24T11:44:00Z</cp:lastPrinted>
  <dcterms:created xsi:type="dcterms:W3CDTF">2020-02-14T09:15:00Z</dcterms:created>
  <dcterms:modified xsi:type="dcterms:W3CDTF">2020-03-24T20:14:00Z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