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3" w:line="278.00000000000006" w:lineRule="auto"/>
        <w:ind w:right="38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січня 2020 року №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січня 2020 року №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13/1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6286"/>
        </w:tabs>
        <w:spacing w:line="274" w:lineRule="auto"/>
        <w:ind w:left="622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ОСВІТНЯ ПРОГРАМА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ПІДВИЩЕННЯ ФАХОВОЇ КВАЛІФІКАЦІЇ</w:t>
        <w:br w:type="textWrapping"/>
        <w:t xml:space="preserve">ВЧИТЕЛІВ МУЗИЧНОГО МИСТЕЦТВА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Біла Церква – 2020</w:t>
      </w:r>
    </w:p>
    <w:p w:rsidR="00000000" w:rsidDel="00000000" w:rsidP="00000000" w:rsidRDefault="00000000" w:rsidRPr="00000000" w14:paraId="0000002B">
      <w:pPr>
        <w:jc w:val="center"/>
        <w:rPr/>
        <w:sectPr>
          <w:pgSz w:h="16840" w:w="11910"/>
          <w:pgMar w:bottom="1134" w:top="1134" w:left="1701" w:right="851" w:header="709" w:footer="709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13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6753"/>
        <w:tblGridChange w:id="0">
          <w:tblGrid>
            <w:gridCol w:w="3260"/>
            <w:gridCol w:w="6753"/>
          </w:tblGrid>
        </w:tblGridChange>
      </w:tblGrid>
      <w:tr>
        <w:trPr>
          <w:trHeight w:val="554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Укладач програми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8" w:right="144" w:hanging="108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Ковальова С.В.,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завідувач кафедри суспільно-гуманітарної освіти Комунального навчального закладу Київської обласної ради «Київський обласний інститут післядипломної освіти педагогічних кадрів», кандидат педагогічних наук, доцент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144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Логімахова О.А.,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завідувач відділом предметів художньо-естетичного циклу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Найменування програми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1" w:lineRule="auto"/>
              <w:ind w:left="88" w:right="144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Освітня програма підвищення фахової кваліфікації вчителів музичного мистецтва</w:t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Мета програми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144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підвищити рівень професійної компетентності вчителів освітньої галузі «Мистецтво»,  розвивати готовність до впровадження інноваційних художньо-педагогічних технологій у мистецькому освітньому процесі закладів загальної середньої освіти</w:t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Напрям програми 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0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розвиток професійних компетентностей (знання навчального   предмета, фахових методик, технологій), педагогічно-мистецької майстерності</w:t>
            </w:r>
          </w:p>
        </w:tc>
      </w:tr>
    </w:tbl>
    <w:p w:rsidR="00000000" w:rsidDel="00000000" w:rsidP="00000000" w:rsidRDefault="00000000" w:rsidRPr="00000000" w14:paraId="0000003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Робочий навчальний план </w:t>
      </w:r>
    </w:p>
    <w:p w:rsidR="00000000" w:rsidDel="00000000" w:rsidP="00000000" w:rsidRDefault="00000000" w:rsidRPr="00000000" w14:paraId="0000003A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7"/>
        <w:gridCol w:w="7399"/>
        <w:gridCol w:w="514"/>
        <w:gridCol w:w="865"/>
        <w:gridCol w:w="11"/>
        <w:gridCol w:w="505"/>
        <w:gridCol w:w="9"/>
        <w:gridCol w:w="613"/>
        <w:tblGridChange w:id="0">
          <w:tblGrid>
            <w:gridCol w:w="707"/>
            <w:gridCol w:w="7399"/>
            <w:gridCol w:w="514"/>
            <w:gridCol w:w="865"/>
            <w:gridCol w:w="11"/>
            <w:gridCol w:w="505"/>
            <w:gridCol w:w="9"/>
            <w:gridCol w:w="613"/>
          </w:tblGrid>
        </w:tblGridChange>
      </w:tblGrid>
      <w:tr>
        <w:tc>
          <w:tcPr>
            <w:vMerge w:val="restart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Назва та зміст навчального модуля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E">
            <w:pPr>
              <w:ind w:left="113" w:right="113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Всього годин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Аудиторні</w:t>
            </w:r>
          </w:p>
        </w:tc>
      </w:tr>
      <w:tr>
        <w:trPr>
          <w:trHeight w:val="1389" w:hRule="atLeast"/>
        </w:trPr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Лекції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Семінари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Практичні</w:t>
            </w:r>
          </w:p>
        </w:tc>
      </w:tr>
      <w:tr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4C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І. Філософія освіти XXІ століття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54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5C">
            <w:pPr>
              <w:spacing w:before="1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ІІІ. Модуль ІІІ. Зміст та технології мистецької освіти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42</w:t>
            </w:r>
          </w:p>
        </w:tc>
      </w:tr>
      <w:t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64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Інваріантна частина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C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Компетентнісний потенціал освітньої галузі “Мистецтво”в реаліях Нової української школи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c>
          <w:tcPr/>
          <w:p w:rsidR="00000000" w:rsidDel="00000000" w:rsidP="00000000" w:rsidRDefault="00000000" w:rsidRPr="00000000" w14:paraId="0000007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3.1.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Концептуальні ідеї  Нової української школи у змісті мистецької освітньої галузі:простір нових можливостей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</w:tr>
      <w:tr>
        <w:tc>
          <w:tcPr/>
          <w:p w:rsidR="00000000" w:rsidDel="00000000" w:rsidP="00000000" w:rsidRDefault="00000000" w:rsidRPr="00000000" w14:paraId="0000007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Нормативно-правове, програмно-методичне забезпечення освітньої галузі “Мистецтво” як складової Державного стандарту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початкової і базової середньої освіти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8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Компетентнісний підхід до реалізації наскрізних змістових ліній на уроках мистецтва </w:t>
            </w:r>
          </w:p>
          <w:p w:rsidR="00000000" w:rsidDel="00000000" w:rsidP="00000000" w:rsidRDefault="00000000" w:rsidRPr="00000000" w14:paraId="0000008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8D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Інтегрований підхід до шкільної мистецької освіти 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c>
          <w:tcPr/>
          <w:p w:rsidR="00000000" w:rsidDel="00000000" w:rsidP="00000000" w:rsidRDefault="00000000" w:rsidRPr="00000000" w14:paraId="0000009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3.4.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Сутність та особливості інтеграції в шкільній мистецькій освіті:основні мистецькі інтегратори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9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3.5.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Дидактична модель, технологічна карта та художня драматургія  сучасного інтегрованого уроку мистецтва: від мети до рефлексії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A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3.6.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Формувальне оцінювання на уроках освітньої галузі “Мистецтво” як інструмент особистісного і творчого розвитку учнів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A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3.7.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Пізнавально-інформаційний лепбук як засіб організації навчальної діяльності здобувачів освіти на уроках освітньої галузі «Мистецтво»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B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Художній діалог і художньо-педагогічне спілкування  у реалізації принципів педагогіки партнерства на уроках мистецтва та у позанавчальній діяльності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BE">
            <w:pPr>
              <w:jc w:val="both"/>
              <w:rPr>
                <w:i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Інноваційні художньо-педагогічні технології мистецького навчання учнів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f243e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color w:val="0f243e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2">
            <w:pPr>
              <w:jc w:val="center"/>
              <w:rPr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color w:val="0f243e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rPr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f243e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trHeight w:val="389" w:hRule="atLeast"/>
        </w:trPr>
        <w:tc>
          <w:tcPr/>
          <w:p w:rsidR="00000000" w:rsidDel="00000000" w:rsidP="00000000" w:rsidRDefault="00000000" w:rsidRPr="00000000" w14:paraId="000000C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3.10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Специфіка використання інтегративних художньо-педагогічних технологій на уроках музичного мистецтва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65" w:hRule="atLeast"/>
        </w:trPr>
        <w:tc>
          <w:tcPr/>
          <w:p w:rsidR="00000000" w:rsidDel="00000000" w:rsidP="00000000" w:rsidRDefault="00000000" w:rsidRPr="00000000" w14:paraId="000000C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3.11.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Технологія Боно  у розвитку критичного і художньо-образного мислення учнів у процесі художньо-практичної діяльності і спілкування з мистецтвом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D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3.12.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Вивчення фольклору на уроках музичного мистецтва  засобами інтерактивних технологій </w:t>
            </w:r>
          </w:p>
          <w:p w:rsidR="00000000" w:rsidDel="00000000" w:rsidP="00000000" w:rsidRDefault="00000000" w:rsidRPr="00000000" w14:paraId="000000D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D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3.13.</w:t>
            </w:r>
          </w:p>
        </w:tc>
        <w:tc>
          <w:tcPr/>
          <w:p w:rsidR="00000000" w:rsidDel="00000000" w:rsidP="00000000" w:rsidRDefault="00000000" w:rsidRPr="00000000" w14:paraId="000000E0">
            <w:pPr>
              <w:tabs>
                <w:tab w:val="left" w:pos="187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Музикотерапевтичні та ігрові технології  у створенні   безпечного  комфортного середовища та збереження  емоційно-психологічного здоров’я  учнів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E7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Варіативна частина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F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Організація музичної діяльності на уроках  мистецтва  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</w:t>
            </w:r>
          </w:p>
        </w:tc>
      </w:tr>
      <w:tr>
        <w:tc>
          <w:tcPr/>
          <w:p w:rsidR="00000000" w:rsidDel="00000000" w:rsidP="00000000" w:rsidRDefault="00000000" w:rsidRPr="00000000" w14:paraId="000000F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3.14.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Орф педагогіка і креативне музикування у розвитку  творчості та активізації пізнання учнів на інтегрованих уроках мистецтва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F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3.15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Методи і прийоми вокально-хорової роботи на уроках музичного мистецтва та у позаурочний час</w:t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0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3.16.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Кубик Блума як метод розвитку критичного мислення та емоційного інтелекту у процесі мистецького  сприймання учнів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0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3.17.</w:t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Сучасні методи і прийоми вокально-хорової роботи на уроках музичного мистецтва та у позаурочний час: на прикладі  сучасного пісенного репертуару</w:t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1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3.18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Візуалізація і структурування інформації за допомогою ментальних  карт на уроках мистецтва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1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3.19.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Художньо- творчі  завдання в   реалізації змістових ліній і розвитку наскрізних умінь учнів   засобами музичного і образотворчого  мистецтва</w:t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127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Діджиталізація мистецького освітнього контенту</w:t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c>
          <w:tcPr/>
          <w:p w:rsidR="00000000" w:rsidDel="00000000" w:rsidP="00000000" w:rsidRDefault="00000000" w:rsidRPr="00000000" w14:paraId="0000012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3.20.</w:t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Розробка веб-сайтів з використанням «хмарних технологій» 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3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3.21.</w:t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Використання освітніх онлайн-сервісів учителями мистецьких дисциплін</w:t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3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3.22.</w:t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Розроблення дидактичних відеоматеріалів з шкільних мистецьких предметів у відеоредакторах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4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3.23</w:t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Застосування електронних сервісів Thinklink, Easeely в мистецькому освітньому процесі </w:t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14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Організація освітнього процесу в умовах інклюзивної освіти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</w:tr>
      <w:tr>
        <w:tc>
          <w:tcPr/>
          <w:p w:rsidR="00000000" w:rsidDel="00000000" w:rsidP="00000000" w:rsidRDefault="00000000" w:rsidRPr="00000000" w14:paraId="0000015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3.24.</w:t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Інклюзивне навчання: сутність, принципи, переваги </w:t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5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3.25.</w:t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Створення освітнього корекційно-розвиткового середовища в умовах Нової української школи </w:t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16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ІV. Діагностико-аналітичний модуль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16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1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1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1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c>
          <w:tcPr/>
          <w:p w:rsidR="00000000" w:rsidDel="00000000" w:rsidP="00000000" w:rsidRDefault="00000000" w:rsidRPr="00000000" w14:paraId="0000016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4.1.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Настановче заняття. Вихідне діагностування </w:t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</w:tr>
      <w:tr>
        <w:tc>
          <w:tcPr/>
          <w:p w:rsidR="00000000" w:rsidDel="00000000" w:rsidP="00000000" w:rsidRDefault="00000000" w:rsidRPr="00000000" w14:paraId="0000017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4.2.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before="1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Тематична дискусія «Формування наскрізних умінь учнів на інтегрованих уроках мистецтва  в умовах Нової української школи»</w:t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c>
          <w:tcPr/>
          <w:p w:rsidR="00000000" w:rsidDel="00000000" w:rsidP="00000000" w:rsidRDefault="00000000" w:rsidRPr="00000000" w14:paraId="0000017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4.3.</w:t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Вихідне діагностування </w:t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8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Зміст програми</w:t>
      </w:r>
    </w:p>
    <w:p w:rsidR="00000000" w:rsidDel="00000000" w:rsidP="00000000" w:rsidRDefault="00000000" w:rsidRPr="00000000" w14:paraId="00000189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1"/>
        <w:gridCol w:w="48"/>
        <w:gridCol w:w="9427"/>
        <w:tblGridChange w:id="0">
          <w:tblGrid>
            <w:gridCol w:w="675"/>
            <w:gridCol w:w="21"/>
            <w:gridCol w:w="48"/>
            <w:gridCol w:w="9427"/>
          </w:tblGrid>
        </w:tblGridChange>
      </w:tblGrid>
      <w:tr>
        <w:trPr>
          <w:trHeight w:val="276" w:hRule="atLeast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18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8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Назва та зміст навчального модуля </w:t>
            </w:r>
          </w:p>
        </w:tc>
      </w:tr>
      <w:tr>
        <w:trPr>
          <w:trHeight w:val="276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193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І. Філософія освіти XXІ століття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19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19B">
            <w:pPr>
              <w:spacing w:before="1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ІІІ. Зміст та технології мистецької освіти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19F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Інваріантна частина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Компетентнісний потенціал освітньої галузі “Мистецтво”в реаліях Нової української школи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8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Інтегрований підхід до шкільної мистецької освіти 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C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Інноваційні художньо-педагогічні технології мистецького навчання учнів 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1AF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Варіативна частина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B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B4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Організація музичної  діяльності на уроках  мистецтва  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B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B8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Діджиталізація мистецького освітнього контенту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B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BC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Організація освітнього процесу в умовах інклюзивної освіти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1BF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Спецкурси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1C3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ІV. Діагностико-аналітичний модуль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C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A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Модульний контроль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3.10.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E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Тематична дискусія</w:t>
            </w:r>
          </w:p>
        </w:tc>
      </w:tr>
    </w:tbl>
    <w:p w:rsidR="00000000" w:rsidDel="00000000" w:rsidP="00000000" w:rsidRDefault="00000000" w:rsidRPr="00000000" w14:paraId="000001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13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6753"/>
        <w:tblGridChange w:id="0">
          <w:tblGrid>
            <w:gridCol w:w="3260"/>
            <w:gridCol w:w="6753"/>
          </w:tblGrid>
        </w:tblGridChange>
      </w:tblGrid>
      <w:tr>
        <w:trPr>
          <w:trHeight w:val="27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Обсяг програми</w:t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2,5 кредити ЄКТС (70 аудиторних годин, 5 години – самостійна робота)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підвищення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кваліфікації</w:t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Інституційна (денна)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D5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Результати навчання</w:t>
            </w:r>
          </w:p>
          <w:p w:rsidR="00000000" w:rsidDel="00000000" w:rsidP="00000000" w:rsidRDefault="00000000" w:rsidRPr="00000000" w14:paraId="000001D6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02"/>
              </w:tabs>
              <w:spacing w:after="0" w:before="0" w:line="240" w:lineRule="auto"/>
              <w:ind w:left="0" w:right="28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 Здатність дотримуватися вимог нормативно-правових документів, що регламентують організацію мистецького  освітнього процесу в закладах загальної середньої освіти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02"/>
              </w:tabs>
              <w:spacing w:after="0" w:before="0" w:line="240" w:lineRule="auto"/>
              <w:ind w:left="0" w:right="28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   Здатність планувати роботу, розробляти календарне планування відповідно до нових програм освітньої галузі”Мистецтво”.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02"/>
              </w:tabs>
              <w:spacing w:after="0" w:before="0" w:line="240" w:lineRule="auto"/>
              <w:ind w:left="0" w:right="28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 Здатність до здійснення творчого освітнього процесу в різних видах мистецько –педагогічної діяльності.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02"/>
              </w:tabs>
              <w:spacing w:after="0" w:before="0" w:line="240" w:lineRule="auto"/>
              <w:ind w:left="0" w:right="28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  Здатність до впровадження інноваційних художньо-педагогічних і цифрових технологій у п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рактиці мистецького навчання учнів.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02"/>
              </w:tabs>
              <w:spacing w:after="0" w:before="0" w:line="240" w:lineRule="auto"/>
              <w:ind w:left="0" w:right="28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5. Здатність до здійснення формувального та підсумкового оцінювання навчальних досягнень учнів на уроках мистецтва.</w:t>
            </w:r>
          </w:p>
          <w:p w:rsidR="00000000" w:rsidDel="00000000" w:rsidP="00000000" w:rsidRDefault="00000000" w:rsidRPr="00000000" w14:paraId="000001DD">
            <w:pPr>
              <w:tabs>
                <w:tab w:val="left" w:pos="402"/>
              </w:tabs>
              <w:ind w:right="28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6.Здатність до організації художньо-практичної діяльності учнів.</w:t>
            </w:r>
          </w:p>
          <w:p w:rsidR="00000000" w:rsidDel="00000000" w:rsidP="00000000" w:rsidRDefault="00000000" w:rsidRPr="00000000" w14:paraId="000001DE">
            <w:pPr>
              <w:tabs>
                <w:tab w:val="left" w:pos="402"/>
              </w:tabs>
              <w:ind w:right="28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7.Здатність до аналізу та інтерпретації художнього образу та спілкування з мистецтвом.</w:t>
            </w:r>
          </w:p>
          <w:p w:rsidR="00000000" w:rsidDel="00000000" w:rsidP="00000000" w:rsidRDefault="00000000" w:rsidRPr="00000000" w14:paraId="000001DF">
            <w:pPr>
              <w:tabs>
                <w:tab w:val="left" w:pos="402"/>
              </w:tabs>
              <w:ind w:right="28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8.Здатність до створення здоров’язбережувального безпечного освітнього середовища засобами мистецтва.</w:t>
            </w:r>
          </w:p>
          <w:p w:rsidR="00000000" w:rsidDel="00000000" w:rsidP="00000000" w:rsidRDefault="00000000" w:rsidRPr="00000000" w14:paraId="000001E0">
            <w:pPr>
              <w:tabs>
                <w:tab w:val="left" w:pos="402"/>
              </w:tabs>
              <w:ind w:right="28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9.Здатність до формування ціннісного ставлення учнів до мистецтва, загальнолюдських і національних цінностей.</w:t>
            </w:r>
          </w:p>
          <w:p w:rsidR="00000000" w:rsidDel="00000000" w:rsidP="00000000" w:rsidRDefault="00000000" w:rsidRPr="00000000" w14:paraId="000001E1">
            <w:pPr>
              <w:tabs>
                <w:tab w:val="left" w:pos="402"/>
              </w:tabs>
              <w:ind w:right="286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10.Здатність до рефлексії власної педагогічно-мистецької діяльності щодо співставлення поставлених цілей і отриманих результатів .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02"/>
              </w:tabs>
              <w:spacing w:after="0" w:before="0" w:line="240" w:lineRule="auto"/>
              <w:ind w:left="360" w:right="28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02"/>
              </w:tabs>
              <w:spacing w:after="0" w:before="0" w:line="240" w:lineRule="auto"/>
              <w:ind w:left="360" w:right="28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4">
      <w:pPr>
        <w:tabs>
          <w:tab w:val="left" w:pos="2160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tabs>
          <w:tab w:val="left" w:pos="2160"/>
        </w:tabs>
        <w:spacing w:line="276" w:lineRule="auto"/>
        <w:ind w:left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tabs>
          <w:tab w:val="left" w:pos="2160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/>
      <w:pgMar w:bottom="280" w:top="1120" w:left="1080" w:right="160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Pr>
      <w:rFonts w:ascii="Times New Roman" w:cs="Times New Roman" w:eastAsia="Times New Roman" w:hAnsi="Times New Roman"/>
      <w:lang w:bidi="uk-UA" w:eastAsia="uk-UA" w:val="uk-UA"/>
    </w:rPr>
  </w:style>
  <w:style w:type="paragraph" w:styleId="1">
    <w:name w:val="heading 1"/>
    <w:basedOn w:val="a"/>
    <w:link w:val="10"/>
    <w:uiPriority w:val="9"/>
    <w:qFormat w:val="1"/>
    <w:rsid w:val="0040576D"/>
    <w:pPr>
      <w:widowControl w:val="1"/>
      <w:autoSpaceDE w:val="1"/>
      <w:autoSpaceDN w:val="1"/>
      <w:spacing w:after="100" w:afterAutospacing="1" w:before="100" w:beforeAutospacing="1"/>
      <w:outlineLvl w:val="0"/>
    </w:pPr>
    <w:rPr>
      <w:b w:val="1"/>
      <w:bCs w:val="1"/>
      <w:kern w:val="36"/>
      <w:sz w:val="48"/>
      <w:szCs w:val="48"/>
      <w:lang w:bidi="ar-SA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C14BB8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365f91" w:themeColor="accent1" w:themeShade="0000BF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28"/>
      <w:szCs w:val="28"/>
    </w:rPr>
  </w:style>
  <w:style w:type="paragraph" w:styleId="a4">
    <w:name w:val="List Paragraph"/>
    <w:basedOn w:val="a"/>
    <w:uiPriority w:val="34"/>
    <w:qFormat w:val="1"/>
  </w:style>
  <w:style w:type="paragraph" w:styleId="TableParagraph" w:customStyle="1">
    <w:name w:val="Table Paragraph"/>
    <w:basedOn w:val="a"/>
    <w:uiPriority w:val="1"/>
    <w:qFormat w:val="1"/>
    <w:pPr>
      <w:spacing w:line="262" w:lineRule="exact"/>
      <w:ind w:left="108"/>
    </w:pPr>
  </w:style>
  <w:style w:type="table" w:styleId="a5">
    <w:name w:val="Table Grid"/>
    <w:basedOn w:val="a1"/>
    <w:uiPriority w:val="39"/>
    <w:rsid w:val="00E44F8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Balloon Text"/>
    <w:basedOn w:val="a"/>
    <w:link w:val="a7"/>
    <w:uiPriority w:val="99"/>
    <w:semiHidden w:val="1"/>
    <w:unhideWhenUsed w:val="1"/>
    <w:rsid w:val="00E5090C"/>
    <w:rPr>
      <w:rFonts w:ascii="Segoe UI" w:cs="Segoe UI" w:hAnsi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E5090C"/>
    <w:rPr>
      <w:rFonts w:ascii="Segoe UI" w:cs="Segoe UI" w:eastAsia="Times New Roman" w:hAnsi="Segoe UI"/>
      <w:sz w:val="18"/>
      <w:szCs w:val="18"/>
      <w:lang w:bidi="uk-UA" w:eastAsia="uk-UA" w:val="uk-UA"/>
    </w:rPr>
  </w:style>
  <w:style w:type="character" w:styleId="a8">
    <w:name w:val="Hyperlink"/>
    <w:basedOn w:val="a0"/>
    <w:uiPriority w:val="99"/>
    <w:unhideWhenUsed w:val="1"/>
    <w:rsid w:val="004C5628"/>
    <w:rPr>
      <w:color w:val="0000ff" w:themeColor="hyperlink"/>
      <w:u w:val="single"/>
    </w:rPr>
  </w:style>
  <w:style w:type="paragraph" w:styleId="Default" w:customStyle="1">
    <w:name w:val="Default"/>
    <w:rsid w:val="007346B5"/>
    <w:pPr>
      <w:widowControl w:val="1"/>
      <w:adjustRightInd w:val="0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character" w:styleId="10" w:customStyle="1">
    <w:name w:val="Заголовок 1 Знак"/>
    <w:basedOn w:val="a0"/>
    <w:link w:val="1"/>
    <w:uiPriority w:val="9"/>
    <w:rsid w:val="0040576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uk-UA" w:val="uk-UA"/>
    </w:rPr>
  </w:style>
  <w:style w:type="character" w:styleId="a9">
    <w:name w:val="Strong"/>
    <w:basedOn w:val="a0"/>
    <w:uiPriority w:val="22"/>
    <w:qFormat w:val="1"/>
    <w:rsid w:val="00013FDD"/>
    <w:rPr>
      <w:b w:val="1"/>
      <w:bCs w:val="1"/>
    </w:rPr>
  </w:style>
  <w:style w:type="character" w:styleId="50" w:customStyle="1">
    <w:name w:val="Заголовок 5 Знак"/>
    <w:basedOn w:val="a0"/>
    <w:link w:val="5"/>
    <w:uiPriority w:val="9"/>
    <w:semiHidden w:val="1"/>
    <w:rsid w:val="00C14BB8"/>
    <w:rPr>
      <w:rFonts w:asciiTheme="majorHAnsi" w:cstheme="majorBidi" w:eastAsiaTheme="majorEastAsia" w:hAnsiTheme="majorHAnsi"/>
      <w:color w:val="365f91" w:themeColor="accent1" w:themeShade="0000BF"/>
      <w:lang w:bidi="uk-UA" w:eastAsia="uk-UA" w:val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8HQ5YE/oBJCei+Qa6JKCQWU0nQ==">AMUW2mVVeCObKyOudt1XUkTuBRoE8YBRThZ2xdoKQW6zdOHnkN2MAPmeI96hKsuS0FmLheNs1eVYiDxw5b1LfuTFAcq6ZdZFeiGTqeCK/v4j6Gng6klG6vE=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2020-03-06T07:12:00Z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