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3" w:line="278.00000000000006" w:lineRule="auto"/>
        <w:ind w:right="38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___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___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2020 року №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6286"/>
        </w:tabs>
        <w:spacing w:line="274" w:lineRule="auto"/>
        <w:ind w:left="622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spacing w:before="1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ПІДВИЩЕННЯ ФАХОВОЇ КВАЛІФІКАЦІЇ КЕРІВНИКІВ ГУРТКІВ ХУДОЖНЬО-ЕСТЕТИЧНОГО НАПРЯМУ (ВОКАЛЬНОГО, ХОРЕОГРАФІЧНОГО, ТЕАТРАЛЬНОГО ТА ЦИРКОВОГО МИСТЕЦТВА)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Біла Церква – 2020</w:t>
      </w:r>
    </w:p>
    <w:p w:rsidR="00000000" w:rsidDel="00000000" w:rsidP="00000000" w:rsidRDefault="00000000" w:rsidRPr="00000000" w14:paraId="00000026">
      <w:pPr>
        <w:jc w:val="center"/>
        <w:rPr/>
        <w:sectPr>
          <w:pgSz w:h="16840" w:w="11910"/>
          <w:pgMar w:bottom="1134" w:top="1134" w:left="1701" w:right="851" w:header="709" w:footer="709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52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06"/>
        <w:gridCol w:w="6946"/>
        <w:tblGridChange w:id="0">
          <w:tblGrid>
            <w:gridCol w:w="3206"/>
            <w:gridCol w:w="6946"/>
          </w:tblGrid>
        </w:tblGridChange>
      </w:tblGrid>
      <w:tr>
        <w:trPr>
          <w:trHeight w:val="132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Укладачі  програми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Гаврилюк В.Ю.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методист відділу виховної роботи та позашкільної освіти,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Найменування програми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" w:lineRule="auto"/>
              <w:ind w:left="107" w:right="-145" w:firstLine="34.7322834645671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Освітня програма підвищення фахової кваліфікації керівників гуртків художньо-естетичного напряму (вокального, хореографічного, театрального та циркового мистецтва)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Мета програми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Підвищити професійну компетентність керівників гуртків щодо формування базових компетентностей і ціннісних орієнтирів вихованців засобами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видовищних видів мистецтв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 програми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.99999999999994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Формування у здобувачів освіти спільних для ключових компетентностей вмінь, визначених частиною першою статті 12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39" w:firstLine="34.7322834645671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Закону України «Про освіту»</w:t>
            </w:r>
          </w:p>
        </w:tc>
      </w:tr>
    </w:tbl>
    <w:p w:rsidR="00000000" w:rsidDel="00000000" w:rsidP="00000000" w:rsidRDefault="00000000" w:rsidRPr="00000000" w14:paraId="0000003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Робочий навчальний план </w:t>
      </w:r>
    </w:p>
    <w:p w:rsidR="00000000" w:rsidDel="00000000" w:rsidP="00000000" w:rsidRDefault="00000000" w:rsidRPr="00000000" w14:paraId="00000035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0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6"/>
        <w:gridCol w:w="7677"/>
        <w:gridCol w:w="518"/>
        <w:gridCol w:w="583"/>
        <w:gridCol w:w="11"/>
        <w:gridCol w:w="497"/>
        <w:gridCol w:w="9"/>
        <w:gridCol w:w="613"/>
        <w:tblGridChange w:id="0">
          <w:tblGrid>
            <w:gridCol w:w="696"/>
            <w:gridCol w:w="7677"/>
            <w:gridCol w:w="518"/>
            <w:gridCol w:w="583"/>
            <w:gridCol w:w="11"/>
            <w:gridCol w:w="497"/>
            <w:gridCol w:w="9"/>
            <w:gridCol w:w="613"/>
          </w:tblGrid>
        </w:tblGridChange>
      </w:tblGrid>
      <w:tr>
        <w:tc>
          <w:tcPr>
            <w:vMerge w:val="restart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ind w:left="113" w:right="113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Всього годин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Аудиторні</w:t>
            </w:r>
          </w:p>
        </w:tc>
      </w:tr>
      <w:tr>
        <w:trPr>
          <w:trHeight w:val="1389" w:hRule="atLeast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Лекції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Семінари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Практичні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4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7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Зміст та технології позашкільної  освіти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F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trHeight w:val="48" w:hRule="atLeast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Нормативне та  програмно-методичне забезпечення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Нормативно-правове  та  програмно-методичне забезпечення освітньої діяльності гуртків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jc w:val="both"/>
              <w:rPr>
                <w:i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Модернізація змісту позашкільної освіти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Позашкільна освіта Київщини: сучасні тренди, досвід модернізації, суспільні виклики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Позитивний імідж гуртка та засоби його формування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31" w:hRule="atLeast"/>
        </w:trPr>
        <w:tc>
          <w:tcPr/>
          <w:p w:rsidR="00000000" w:rsidDel="00000000" w:rsidP="00000000" w:rsidRDefault="00000000" w:rsidRPr="00000000" w14:paraId="0000008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Упровадження педагогіки партнерства в освітню діяльність закладу позашкільної освіти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(Галашевська)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rPr>
          <w:trHeight w:val="133" w:hRule="atLeast"/>
        </w:trPr>
        <w:tc>
          <w:tcPr>
            <w:gridSpan w:val="2"/>
          </w:tcPr>
          <w:p w:rsidR="00000000" w:rsidDel="00000000" w:rsidP="00000000" w:rsidRDefault="00000000" w:rsidRPr="00000000" w14:paraId="0000009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Особистісно-професійний розвиток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9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Інноваційна діяльність керівника гуртка як засіб його професійного розвитку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Професійний розвиток педагогічного працівника закладу позашкільної освіти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(Галашевська)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37" w:hRule="atLeast"/>
        </w:trPr>
        <w:tc>
          <w:tcPr/>
          <w:p w:rsidR="00000000" w:rsidDel="00000000" w:rsidP="00000000" w:rsidRDefault="00000000" w:rsidRPr="00000000" w14:paraId="000000A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Технологія проектування та створення електронного портфоліо керівника гуртка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B7">
            <w:pPr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Технології мистецької освіти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D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B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Вокальний ансамбль як музично-виконавський колектив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(Гаврилюк, Потапова)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C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Технології формування вокально-хорової культури вихованців ансамблю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Потапова)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48" w:hRule="atLeast"/>
        </w:trPr>
        <w:tc>
          <w:tcPr/>
          <w:p w:rsidR="00000000" w:rsidDel="00000000" w:rsidP="00000000" w:rsidRDefault="00000000" w:rsidRPr="00000000" w14:paraId="000000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Організаційно-педагогічні та дидактичні аспекти освітньої діяльності гуртка народної / сучасної хореографії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Потапова)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578" w:hRule="atLeast"/>
        </w:trPr>
        <w:tc>
          <w:tcPr/>
          <w:p w:rsidR="00000000" w:rsidDel="00000000" w:rsidP="00000000" w:rsidRDefault="00000000" w:rsidRPr="00000000" w14:paraId="000000D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30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Основи техніки елементів народних / сучасних танцювальних композицій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Потапова)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trHeight w:val="218" w:hRule="atLeast"/>
        </w:trPr>
        <w:tc>
          <w:tcPr/>
          <w:p w:rsidR="00000000" w:rsidDel="00000000" w:rsidP="00000000" w:rsidRDefault="00000000" w:rsidRPr="00000000" w14:paraId="000000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Формування творчої особистості засобами театрального / циркового мистецтва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(Гаврилюк, Потапова)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7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F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Національно-патріотичне виховання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3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5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0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line="23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Національно-патріотичне виховання дітей та учнівської молоді засобами позашкільної освіти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F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Упровадження тренінгової програми з національно-патріотичного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i w:val="0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виховання «З Україною в серці» в освітню діяльність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08">
            <w:pPr>
              <w:spacing w:line="23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Формування базових компетентностей учасників освітнього процесу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C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E">
            <w:pPr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1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Формування базових компетентностей особистості в процесі екскурсійної діяльності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(Гаврилюк)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1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3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Організація і проведення творчих конкурсів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(Галашевська)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120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3.17.</w:t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Інклюзивне навчання: сутність, принципи, переваги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3.18.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both"/>
              <w:rPr>
                <w:i w:val="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sz w:val="24"/>
                <w:szCs w:val="24"/>
                <w:highlight w:val="white"/>
                <w:rtl w:val="0"/>
              </w:rPr>
              <w:t xml:space="preserve">Створення освітнього корекційно-розвиткового середовища в умовах закладу позашкільної освіти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3.19.</w:t>
            </w:r>
          </w:p>
        </w:tc>
        <w:tc>
          <w:tcPr/>
          <w:p w:rsidR="00000000" w:rsidDel="00000000" w:rsidP="00000000" w:rsidRDefault="00000000" w:rsidRPr="00000000" w14:paraId="000001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Соціалізація дитини з ООП: принципи та етапи соціалізації </w:t>
            </w:r>
            <w:r w:rsidDel="00000000" w:rsidR="00000000" w:rsidRPr="00000000">
              <w:rPr>
                <w:i w:val="0"/>
                <w:color w:val="ff0000"/>
                <w:sz w:val="24"/>
                <w:szCs w:val="24"/>
                <w:highlight w:val="white"/>
                <w:rtl w:val="0"/>
              </w:rPr>
              <w:t xml:space="preserve">(Луценко)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  <w:t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140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за вибором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4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fbd5b5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  <w:shd w:fill="fbd5b5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c>
          <w:tcPr/>
          <w:p w:rsidR="00000000" w:rsidDel="00000000" w:rsidP="00000000" w:rsidRDefault="00000000" w:rsidRPr="00000000" w14:paraId="0000015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4.1.</w:t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Настановче заняття. Вхідне діагностування 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</w:p>
        </w:tc>
      </w:tr>
      <w:tr>
        <w:tc>
          <w:tcPr/>
          <w:p w:rsidR="00000000" w:rsidDel="00000000" w:rsidP="00000000" w:rsidRDefault="00000000" w:rsidRPr="00000000" w14:paraId="0000015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4.4.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before="1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Тематична дискусія 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16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Вихідне діагностування 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6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Зміст програми</w:t>
      </w:r>
    </w:p>
    <w:p w:rsidR="00000000" w:rsidDel="00000000" w:rsidP="00000000" w:rsidRDefault="00000000" w:rsidRPr="00000000" w14:paraId="0000016A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21"/>
        <w:gridCol w:w="48"/>
        <w:gridCol w:w="9427"/>
        <w:tblGridChange w:id="0">
          <w:tblGrid>
            <w:gridCol w:w="675"/>
            <w:gridCol w:w="21"/>
            <w:gridCol w:w="48"/>
            <w:gridCol w:w="9427"/>
          </w:tblGrid>
        </w:tblGridChange>
      </w:tblGrid>
      <w:tr>
        <w:trPr>
          <w:trHeight w:val="276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6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6D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 та зміст навчального модуля </w:t>
            </w:r>
          </w:p>
        </w:tc>
      </w:tr>
      <w:tr>
        <w:trPr>
          <w:trHeight w:val="276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7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І. Філософія освіти XXІ століття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7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7C">
            <w:pPr>
              <w:spacing w:before="1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ІІІ. Зміст та технології позашкільної 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80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Інваріантна частина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85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Нормативне та  програмно-методичне забезпечення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8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Модернізація змісту позашкільної освіти</w:t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Особистісно-професійний розвиток педагогічних працівників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Технології мистецької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94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Варіативна частина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9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Національно-патріотичне виховання</w:t>
            </w:r>
          </w:p>
        </w:tc>
      </w:tr>
      <w:tr>
        <w:trPr>
          <w:trHeight w:val="294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D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Формування базових компетентностей учасників освітнього процесу</w:t>
            </w:r>
          </w:p>
        </w:tc>
      </w:tr>
      <w:tr>
        <w:trPr>
          <w:trHeight w:val="265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1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Організація освітнього процесу в умовах інклюзивної освіти</w:t>
            </w:r>
          </w:p>
        </w:tc>
      </w:tr>
      <w:tr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1A4">
            <w:pPr>
              <w:jc w:val="both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Спецкурси </w:t>
            </w:r>
          </w:p>
        </w:tc>
      </w:tr>
      <w:tr>
        <w:tc>
          <w:tcPr>
            <w:gridSpan w:val="4"/>
            <w:shd w:fill="fbd5b5" w:val="clear"/>
          </w:tcPr>
          <w:p w:rsidR="00000000" w:rsidDel="00000000" w:rsidP="00000000" w:rsidRDefault="00000000" w:rsidRPr="00000000" w14:paraId="000001A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Модуль ІV. Діагностико-аналітичний модуль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A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Модульний контроль</w:t>
            </w:r>
          </w:p>
        </w:tc>
      </w:tr>
      <w:t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B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3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Тематична дискусія </w:t>
            </w:r>
          </w:p>
        </w:tc>
      </w:tr>
    </w:tbl>
    <w:p w:rsidR="00000000" w:rsidDel="00000000" w:rsidP="00000000" w:rsidRDefault="00000000" w:rsidRPr="00000000" w14:paraId="000001B4">
      <w:pPr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5"/>
        <w:tblW w:w="10013.0" w:type="dxa"/>
        <w:jc w:val="left"/>
        <w:tblInd w:w="2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6753"/>
        <w:tblGridChange w:id="0">
          <w:tblGrid>
            <w:gridCol w:w="3260"/>
            <w:gridCol w:w="6753"/>
          </w:tblGrid>
        </w:tblGridChange>
      </w:tblGrid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Обсяг програми</w:t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hanging="108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кредити ЄКТС (60 аудиторних годин)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Форма підвищення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кваліфікації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0" w:hanging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Результати навчання</w:t>
            </w:r>
          </w:p>
          <w:p w:rsidR="00000000" w:rsidDel="00000000" w:rsidP="00000000" w:rsidRDefault="00000000" w:rsidRPr="00000000" w14:paraId="000001BB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5" w:right="0" w:hanging="108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Загальні компетентності: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генерувати / продукувати нові освітні технології.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70"/>
              </w:tabs>
              <w:spacing w:after="0" w:before="0" w:line="240" w:lineRule="auto"/>
              <w:ind w:left="143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навчатися упродовж життя.</w:t>
            </w:r>
          </w:p>
          <w:p w:rsidR="00000000" w:rsidDel="00000000" w:rsidP="00000000" w:rsidRDefault="00000000" w:rsidRPr="00000000" w14:paraId="000001C2">
            <w:pPr>
              <w:tabs>
                <w:tab w:val="left" w:pos="427"/>
              </w:tabs>
              <w:ind w:left="143"/>
              <w:jc w:val="both"/>
              <w:rPr>
                <w:i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tabs>
                <w:tab w:val="left" w:pos="427"/>
              </w:tabs>
              <w:ind w:left="143" w:right="138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Активізація професійно-особистісних якостей педагогічних працівників.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акмеологічного проектування та реалізації програм індивідуального професійного розвитку.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Готовність до використання / поширення освітніх інновацій та кращих виховних практик.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Здатність до моделювання та реалізації авторських методичних систем естетичного виховання.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27"/>
              </w:tabs>
              <w:spacing w:after="0" w:before="0" w:line="240" w:lineRule="auto"/>
              <w:ind w:left="143" w:right="13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Реалізація педагогіки партнерства та суб’єкт-суб’єктної взаємодії з усіма учасниками освітнього процесу.</w:t>
            </w:r>
          </w:p>
        </w:tc>
      </w:tr>
    </w:tbl>
    <w:p w:rsidR="00000000" w:rsidDel="00000000" w:rsidP="00000000" w:rsidRDefault="00000000" w:rsidRPr="00000000" w14:paraId="000001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center"/>
        <w:rPr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Питання для самостійної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Вокальне (хореографічне, театральне, циркове) мистецтво як засіб формування ціннісних орієнтирів дітей та учнівської молоді.</w:t>
      </w:r>
    </w:p>
    <w:p w:rsidR="00000000" w:rsidDel="00000000" w:rsidP="00000000" w:rsidRDefault="00000000" w:rsidRPr="00000000" w14:paraId="000001CC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Інтегративна функція видовищних видів мистецтва у формуванні творчої особистості дитини.</w:t>
      </w:r>
    </w:p>
    <w:p w:rsidR="00000000" w:rsidDel="00000000" w:rsidP="00000000" w:rsidRDefault="00000000" w:rsidRPr="00000000" w14:paraId="000001CD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Духовно-творчий розвиток особистості дитини в процесі художньо-естетичного виховання.</w:t>
      </w:r>
    </w:p>
    <w:p w:rsidR="00000000" w:rsidDel="00000000" w:rsidP="00000000" w:rsidRDefault="00000000" w:rsidRPr="00000000" w14:paraId="000001CE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Національно-патріотичне виховання / формування національно-культурної ідентичності учнівської молоді засобами вокального (хореографічного, театрального) мистецтва.</w:t>
      </w:r>
    </w:p>
    <w:p w:rsidR="00000000" w:rsidDel="00000000" w:rsidP="00000000" w:rsidRDefault="00000000" w:rsidRPr="00000000" w14:paraId="000001CF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Організаційно-методичний супровід освітньої діяльності дитячого вокального (хореографічного, театрального, циркового) мистецького колективу.</w:t>
      </w:r>
    </w:p>
    <w:p w:rsidR="00000000" w:rsidDel="00000000" w:rsidP="00000000" w:rsidRDefault="00000000" w:rsidRPr="00000000" w14:paraId="000001D0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4"/>
          <w:szCs w:val="24"/>
          <w:rtl w:val="0"/>
        </w:rPr>
        <w:t xml:space="preserve">Розвиток сценічно-виконавської майстерності вихованців вокального гуртка.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4"/>
          <w:szCs w:val="24"/>
          <w:rtl w:val="0"/>
        </w:rPr>
        <w:t xml:space="preserve">Організаційно-педагогічні аспекти діяльності гуртка народної / сучасної хореографії.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0"/>
          <w:numId w:val="3"/>
        </w:numPr>
        <w:tabs>
          <w:tab w:val="left" w:pos="284"/>
          <w:tab w:val="left" w:pos="2160"/>
        </w:tabs>
        <w:ind w:left="0" w:right="32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Засоби формування позитивного іміджу дитячого мистецького колективу.</w:t>
      </w:r>
    </w:p>
    <w:p w:rsidR="00000000" w:rsidDel="00000000" w:rsidP="00000000" w:rsidRDefault="00000000" w:rsidRPr="00000000" w14:paraId="000001D3">
      <w:pPr>
        <w:widowControl w:val="1"/>
        <w:tabs>
          <w:tab w:val="left" w:pos="851"/>
          <w:tab w:val="left" w:pos="1650"/>
        </w:tabs>
        <w:ind w:right="322"/>
        <w:rPr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widowControl w:val="1"/>
        <w:tabs>
          <w:tab w:val="left" w:pos="851"/>
          <w:tab w:val="left" w:pos="1650"/>
        </w:tabs>
        <w:ind w:right="322"/>
        <w:jc w:val="center"/>
        <w:rPr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Список використаних джерел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Базарова Н. П. Классический танец / Н. П. Базарова. – СПб. : Лань ; Планета музыки, 2009. – 192 с.</w:t>
      </w:r>
    </w:p>
    <w:p w:rsidR="00000000" w:rsidDel="00000000" w:rsidP="00000000" w:rsidRDefault="00000000" w:rsidRPr="00000000" w14:paraId="000001D6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Василенко К. Лексика українського народно-сценічного танцю / К. Василенко. – К. : Мистецтво, 1996. – 491 с.</w:t>
      </w:r>
    </w:p>
    <w:p w:rsidR="00000000" w:rsidDel="00000000" w:rsidP="00000000" w:rsidRDefault="00000000" w:rsidRPr="00000000" w14:paraId="000001D7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Гаврилюк О. М. Організація та зміст діяльності вокального ансамблю у позашкільному навчальному закладі : метод. посіб. / О.М. Гаврилюк. – Б. Церква : ЦТДЮ «Соняшник», 2017. – 225 с. + CD.</w:t>
      </w:r>
    </w:p>
    <w:p w:rsidR="00000000" w:rsidDel="00000000" w:rsidP="00000000" w:rsidRDefault="00000000" w:rsidRPr="00000000" w14:paraId="000001D8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Іваницький А. Українська народна музична творчість : навч. посіб. / А. Іваницький. – К., 1990. – 294 с.</w:t>
      </w:r>
    </w:p>
    <w:p w:rsidR="00000000" w:rsidDel="00000000" w:rsidP="00000000" w:rsidRDefault="00000000" w:rsidRPr="00000000" w14:paraId="000001D9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Карпун А. Л. Ази методики педагогічного керівництва співочими колективами : посіб. для вищ. навч. закл. культури та мистецтв / А. Л. Карпун. – К. : УММДО, 2010. – 298 с.</w:t>
      </w:r>
    </w:p>
    <w:p w:rsidR="00000000" w:rsidDel="00000000" w:rsidP="00000000" w:rsidRDefault="00000000" w:rsidRPr="00000000" w14:paraId="000001DA">
      <w:pPr>
        <w:widowControl w:val="1"/>
        <w:numPr>
          <w:ilvl w:val="0"/>
          <w:numId w:val="1"/>
        </w:numPr>
        <w:tabs>
          <w:tab w:val="left" w:pos="284"/>
          <w:tab w:val="left" w:pos="851"/>
          <w:tab w:val="left" w:pos="165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Ростовський О. Я. Теорія і методика музичної освіти : навч.-метод. посіб. / О. Я. Ростовський. – Тернопіль : Навч. книга – Богдан, 2011. – 640 с.</w:t>
      </w:r>
    </w:p>
    <w:p w:rsidR="00000000" w:rsidDel="00000000" w:rsidP="00000000" w:rsidRDefault="00000000" w:rsidRPr="00000000" w14:paraId="000001DB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Формування в учнів основної школи національно-культурної ідентичності в контексті сучасних полікультурних впливів : посіб. / І. Д. Бех, О. М. Докукіна, І. М. Шкільна, К. О. Журба. – К. : ІПВ НАПНУ, 2019. – 114 с.</w:t>
      </w:r>
    </w:p>
    <w:p w:rsidR="00000000" w:rsidDel="00000000" w:rsidP="00000000" w:rsidRDefault="00000000" w:rsidRPr="00000000" w14:paraId="000001DC">
      <w:pPr>
        <w:numPr>
          <w:ilvl w:val="0"/>
          <w:numId w:val="1"/>
        </w:numPr>
        <w:tabs>
          <w:tab w:val="left" w:pos="284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Шевчук А. С. Дитяча хореографія : навч.-метод. посіб. / А. С. Шевчук. — Тернопіль : Мандрівець, 2016. – 288 с.</w:t>
      </w:r>
    </w:p>
    <w:p w:rsidR="00000000" w:rsidDel="00000000" w:rsidP="00000000" w:rsidRDefault="00000000" w:rsidRPr="00000000" w14:paraId="000001DD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tabs>
          <w:tab w:val="left" w:pos="2160"/>
        </w:tabs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Перелік корисних веб-ресурсів</w:t>
      </w:r>
    </w:p>
    <w:p w:rsidR="00000000" w:rsidDel="00000000" w:rsidP="00000000" w:rsidRDefault="00000000" w:rsidRPr="00000000" w14:paraId="000001DF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Ансамбль Вірського: танцюй українське [Електронний ресурс]. – Режим доступу : http://virsky.kiev.ua/.</w:t>
      </w:r>
    </w:p>
    <w:p w:rsidR="00000000" w:rsidDel="00000000" w:rsidP="00000000" w:rsidRDefault="00000000" w:rsidRPr="00000000" w14:paraId="000001E0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bookmarkStart w:colFirst="0" w:colLast="0" w:name="_heading=h.30j0zll" w:id="1"/>
      <w:bookmarkEnd w:id="1"/>
      <w:r w:rsidDel="00000000" w:rsidR="00000000" w:rsidRPr="00000000">
        <w:rPr>
          <w:sz w:val="25"/>
          <w:szCs w:val="25"/>
          <w:rtl w:val="0"/>
        </w:rPr>
        <w:t xml:space="preserve">Віртуальний кабінет позашкільної освіти КНЗ КОР «КОІПОПК» [Електронний ресурс]. – Режим доступу : </w:t>
      </w:r>
      <w:hyperlink r:id="rId7">
        <w:r w:rsidDel="00000000" w:rsidR="00000000" w:rsidRPr="00000000">
          <w:rPr>
            <w:color w:val="000000"/>
            <w:sz w:val="25"/>
            <w:szCs w:val="25"/>
            <w:u w:val="none"/>
            <w:rtl w:val="0"/>
          </w:rPr>
          <w:t xml:space="preserve">https://vpo-ano.wixsite.com/vpo-ano/</w:t>
        </w:r>
      </w:hyperlink>
      <w:r w:rsidDel="00000000" w:rsidR="00000000" w:rsidRPr="00000000">
        <w:rPr>
          <w:sz w:val="25"/>
          <w:szCs w:val="25"/>
          <w:rtl w:val="0"/>
        </w:rPr>
        <w:t xml:space="preserve">.</w:t>
      </w:r>
    </w:p>
    <w:p w:rsidR="00000000" w:rsidDel="00000000" w:rsidP="00000000" w:rsidRDefault="00000000" w:rsidRPr="00000000" w14:paraId="000001E1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Український національний хор ім. Г. Верьовки [Електронний ресурс]. – Режим доступу : https://veryovka.com/</w:t>
      </w:r>
    </w:p>
    <w:p w:rsidR="00000000" w:rsidDel="00000000" w:rsidP="00000000" w:rsidRDefault="00000000" w:rsidRPr="00000000" w14:paraId="000001E2">
      <w:pPr>
        <w:numPr>
          <w:ilvl w:val="0"/>
          <w:numId w:val="2"/>
        </w:numPr>
        <w:tabs>
          <w:tab w:val="left" w:pos="284"/>
          <w:tab w:val="left" w:pos="2160"/>
        </w:tabs>
        <w:ind w:left="0" w:right="322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Усе для хореографів [Електронний ресурс]. – Режим доступу : http://www.horeograf.com/.</w:t>
      </w:r>
    </w:p>
    <w:sectPr>
      <w:type w:val="nextPage"/>
      <w:pgSz w:h="16840" w:w="11910"/>
      <w:pgMar w:bottom="280" w:top="1120" w:left="1080" w:right="160" w:header="708" w:footer="708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sz w:val="28"/>
      <w:szCs w:val="28"/>
    </w:rPr>
  </w:style>
  <w:style w:type="paragraph" w:styleId="a" w:default="1">
    <w:name w:val="Normal"/>
    <w:uiPriority w:val="1"/>
    <w:qFormat w:val="1"/>
    <w:rsid w:val="0097667E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bidi="uk-UA" w:eastAsia="uk-UA"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link w:val="a4"/>
    <w:uiPriority w:val="1"/>
    <w:qFormat w:val="1"/>
    <w:rsid w:val="0097667E"/>
    <w:rPr>
      <w:sz w:val="28"/>
      <w:szCs w:val="28"/>
    </w:rPr>
  </w:style>
  <w:style w:type="character" w:styleId="a4" w:customStyle="1">
    <w:name w:val="Основний текст Знак"/>
    <w:basedOn w:val="a0"/>
    <w:link w:val="a3"/>
    <w:uiPriority w:val="1"/>
    <w:rsid w:val="0097667E"/>
    <w:rPr>
      <w:rFonts w:ascii="Times New Roman" w:cs="Times New Roman" w:eastAsia="Times New Roman" w:hAnsi="Times New Roman"/>
      <w:sz w:val="28"/>
      <w:szCs w:val="28"/>
      <w:lang w:bidi="uk-UA" w:eastAsia="uk-UA" w:val="uk-UA"/>
    </w:rPr>
  </w:style>
  <w:style w:type="paragraph" w:styleId="a5">
    <w:name w:val="List Paragraph"/>
    <w:basedOn w:val="a"/>
    <w:uiPriority w:val="1"/>
    <w:qFormat w:val="1"/>
    <w:rsid w:val="0097667E"/>
  </w:style>
  <w:style w:type="paragraph" w:styleId="TableParagraph" w:customStyle="1">
    <w:name w:val="Table Paragraph"/>
    <w:basedOn w:val="a"/>
    <w:uiPriority w:val="1"/>
    <w:qFormat w:val="1"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7">
    <w:name w:val="Hyperlink"/>
    <w:basedOn w:val="a0"/>
    <w:uiPriority w:val="99"/>
    <w:unhideWhenUsed w:val="1"/>
    <w:rsid w:val="0097667E"/>
    <w:rPr>
      <w:color w:val="0000ff" w:themeColor="hyperlink"/>
      <w:u w:val="single"/>
    </w:rPr>
  </w:style>
  <w:style w:type="paragraph" w:styleId="Default" w:customStyle="1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 w:val="1"/>
    <w:rsid w:val="0097667E"/>
    <w:pPr>
      <w:widowControl w:val="1"/>
      <w:autoSpaceDE w:val="1"/>
      <w:autoSpaceDN w:val="1"/>
      <w:jc w:val="center"/>
    </w:pPr>
    <w:rPr>
      <w:sz w:val="28"/>
      <w:szCs w:val="28"/>
      <w:lang w:bidi="ar-SA" w:eastAsia="ru-RU"/>
    </w:rPr>
  </w:style>
  <w:style w:type="character" w:styleId="a9" w:customStyle="1">
    <w:name w:val="Назва Знак"/>
    <w:basedOn w:val="a0"/>
    <w:link w:val="a8"/>
    <w:uiPriority w:val="99"/>
    <w:rsid w:val="0097667E"/>
    <w:rPr>
      <w:rFonts w:ascii="Times New Roman" w:cs="Times New Roman" w:eastAsia="Times New Roman" w:hAnsi="Times New Roman"/>
      <w:sz w:val="28"/>
      <w:szCs w:val="28"/>
      <w:lang w:eastAsia="ru-RU" w:val="uk-UA"/>
    </w:rPr>
  </w:style>
  <w:style w:type="paragraph" w:styleId="1" w:customStyle="1">
    <w:name w:val="Абзац списка1"/>
    <w:basedOn w:val="a"/>
    <w:rsid w:val="0097667E"/>
    <w:pPr>
      <w:widowControl w:val="1"/>
      <w:autoSpaceDE w:val="1"/>
      <w:autoSpaceDN w:val="1"/>
      <w:spacing w:after="200" w:line="276" w:lineRule="auto"/>
      <w:ind w:left="720"/>
    </w:pPr>
    <w:rPr>
      <w:rFonts w:ascii="Calibri" w:hAnsi="Calibri"/>
      <w:lang w:bidi="ar-SA" w:eastAsia="en-US" w:val="ru-RU"/>
    </w:rPr>
  </w:style>
  <w:style w:type="character" w:styleId="apple-converted-space" w:customStyle="1">
    <w:name w:val="apple-converted-space"/>
    <w:basedOn w:val="a0"/>
    <w:rsid w:val="0097667E"/>
  </w:style>
  <w:style w:type="character" w:styleId="aa">
    <w:name w:val="Emphasis"/>
    <w:basedOn w:val="a0"/>
    <w:qFormat w:val="1"/>
    <w:rsid w:val="0097667E"/>
    <w:rPr>
      <w:i w:val="1"/>
      <w:iCs w:val="1"/>
    </w:rPr>
  </w:style>
  <w:style w:type="character" w:styleId="ab">
    <w:name w:val="Unresolved Mention"/>
    <w:basedOn w:val="a0"/>
    <w:uiPriority w:val="99"/>
    <w:semiHidden w:val="1"/>
    <w:unhideWhenUsed w:val="1"/>
    <w:rsid w:val="00F0071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po-ano.wixsite.com/vpo-an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QyjwR82ineVLsUkIBrIuyn5Pg==">AMUW2mWl1ALO6hpdj02XNR20oH5GJjr9QYQlddCVqo13HSrmZoysFXPK942H3kCT41n9v1GBDWaX+Cc4cndHnLkD9MwbZsLvfOk/LF/+r/WJ7wiV04uM5gdpElJSpJGTohBEEf49AUQi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2020-02-28T12:24:00Z</dcterms:created>
  <dc:creator>User</dc:creator>
</cp:coreProperties>
</file>