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25" w:rsidRDefault="00770536">
      <w:pPr>
        <w:spacing w:before="73" w:line="278" w:lineRule="auto"/>
        <w:ind w:right="38"/>
        <w:jc w:val="center"/>
        <w:rPr>
          <w:b/>
        </w:rPr>
      </w:pPr>
      <w:r>
        <w:rPr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d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7E0725">
        <w:tc>
          <w:tcPr>
            <w:tcW w:w="4077" w:type="dxa"/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СХВАЛЕНО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21 січня 2020 року №1</w:t>
            </w:r>
          </w:p>
        </w:tc>
        <w:tc>
          <w:tcPr>
            <w:tcW w:w="1985" w:type="dxa"/>
          </w:tcPr>
          <w:p w:rsidR="007E0725" w:rsidRDefault="007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Наказ КНЗ КОР «КОІПОПК» </w:t>
            </w:r>
          </w:p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22 січня 2020 року № 13/1</w:t>
            </w:r>
          </w:p>
        </w:tc>
      </w:tr>
    </w:tbl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9"/>
          <w:szCs w:val="29"/>
        </w:rPr>
      </w:pPr>
    </w:p>
    <w:p w:rsidR="007E0725" w:rsidRDefault="00770536">
      <w:pPr>
        <w:tabs>
          <w:tab w:val="left" w:pos="6286"/>
        </w:tabs>
        <w:spacing w:line="274" w:lineRule="auto"/>
        <w:ind w:left="62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:rsidR="007E0725" w:rsidRDefault="00770536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7E0725" w:rsidRDefault="00770536">
      <w:pPr>
        <w:spacing w:before="1"/>
        <w:jc w:val="center"/>
        <w:rPr>
          <w:sz w:val="30"/>
          <w:szCs w:val="30"/>
        </w:rPr>
      </w:pPr>
      <w:r>
        <w:rPr>
          <w:b/>
          <w:sz w:val="28"/>
          <w:szCs w:val="28"/>
        </w:rPr>
        <w:t>ПІДВИЩЕННЯ ФАХОВОЇ КВАЛІФІКАЦІЇ</w:t>
      </w:r>
      <w:r>
        <w:rPr>
          <w:b/>
          <w:sz w:val="28"/>
          <w:szCs w:val="28"/>
        </w:rPr>
        <w:br/>
        <w:t>ВИХОВАТЕЛІВ ГРУП ПОДОВЖЕНОГО ДНЯ</w:t>
      </w: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7E0725" w:rsidRDefault="00770536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2020</w:t>
      </w:r>
    </w:p>
    <w:p w:rsidR="007E0725" w:rsidRDefault="007E0725">
      <w:pPr>
        <w:jc w:val="center"/>
        <w:sectPr w:rsidR="007E0725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973"/>
          </w:cols>
        </w:sectPr>
      </w:pPr>
    </w:p>
    <w:p w:rsidR="007E0725" w:rsidRDefault="007E072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e"/>
        <w:tblW w:w="986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609"/>
      </w:tblGrid>
      <w:tr w:rsidR="007E0725" w:rsidTr="00770536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Укладачі  програми</w:t>
            </w:r>
          </w:p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09" w:type="dxa"/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Ткаченко Л.П.., </w:t>
            </w:r>
            <w:r>
              <w:rPr>
                <w:color w:val="000000"/>
                <w:sz w:val="24"/>
                <w:szCs w:val="24"/>
              </w:rPr>
              <w:t>завідувач відділу початкової освіти, старший викладач  кафедри суспільно-гуманітарної освіти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7E0725" w:rsidRDefault="00770536">
            <w:pPr>
              <w:ind w:left="141" w:right="142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Ткаченко А.О.,</w:t>
            </w:r>
            <w:r>
              <w:rPr>
                <w:sz w:val="24"/>
                <w:szCs w:val="24"/>
              </w:rPr>
              <w:t xml:space="preserve"> методист відділу п</w:t>
            </w:r>
            <w:r>
              <w:rPr>
                <w:sz w:val="24"/>
                <w:szCs w:val="24"/>
              </w:rPr>
              <w:t>очаткової освіти,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Романюк О.В.,</w:t>
            </w:r>
            <w:r>
              <w:rPr>
                <w:color w:val="000000"/>
                <w:sz w:val="24"/>
                <w:szCs w:val="24"/>
              </w:rPr>
              <w:t xml:space="preserve"> методист відділу початкової освіти,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7E0725" w:rsidTr="00770536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6609" w:type="dxa"/>
          </w:tcPr>
          <w:p w:rsidR="007E0725" w:rsidRDefault="00770536">
            <w:pPr>
              <w:spacing w:before="1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Освітня програма підвищення фахової кваліфікації вихователів груп подовженого дня</w:t>
            </w:r>
          </w:p>
        </w:tc>
      </w:tr>
      <w:tr w:rsidR="007E0725" w:rsidTr="0077053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6609" w:type="dxa"/>
          </w:tcPr>
          <w:p w:rsidR="007E0725" w:rsidRDefault="00770536">
            <w:pPr>
              <w:pStyle w:val="a3"/>
              <w:ind w:left="141" w:right="142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Підвищити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науковий, методичний та практичний рівні професійної компетентності вихователів груп подовженого дня з урахуванням </w:t>
            </w:r>
            <w:r>
              <w:rPr>
                <w:color w:val="000000"/>
                <w:sz w:val="24"/>
                <w:szCs w:val="24"/>
              </w:rPr>
              <w:t>основних напрямів державної політи</w:t>
            </w:r>
            <w:r>
              <w:rPr>
                <w:color w:val="000000"/>
                <w:sz w:val="24"/>
                <w:szCs w:val="24"/>
              </w:rPr>
              <w:t>ки у галузі реформування початкової освіти, потреб споживачів освітніх послуг, забезпечення якості початкової освіти.</w:t>
            </w:r>
          </w:p>
        </w:tc>
      </w:tr>
      <w:tr w:rsidR="007E0725" w:rsidTr="0077053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609" w:type="dxa"/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формування у здобувачів освіти спільних для ключових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вмінь, визначених </w:t>
            </w:r>
            <w:hyperlink r:id="rId7" w:anchor="n187">
              <w:r>
                <w:rPr>
                  <w:color w:val="000000"/>
                  <w:sz w:val="24"/>
                  <w:szCs w:val="24"/>
                </w:rPr>
                <w:t>частиною першою</w:t>
              </w:r>
            </w:hyperlink>
            <w:r>
              <w:rPr>
                <w:color w:val="000000"/>
                <w:sz w:val="24"/>
                <w:szCs w:val="24"/>
              </w:rPr>
              <w:t> статті 12 Закону України “Про освіту”; психолого-педагогічні особливості здобувачів освіти</w:t>
            </w:r>
          </w:p>
        </w:tc>
      </w:tr>
    </w:tbl>
    <w:p w:rsidR="007E0725" w:rsidRDefault="007E0725">
      <w:pPr>
        <w:rPr>
          <w:sz w:val="16"/>
          <w:szCs w:val="16"/>
        </w:rPr>
      </w:pPr>
    </w:p>
    <w:p w:rsidR="007E0725" w:rsidRDefault="007E0725">
      <w:pPr>
        <w:rPr>
          <w:sz w:val="16"/>
          <w:szCs w:val="16"/>
        </w:rPr>
      </w:pPr>
    </w:p>
    <w:p w:rsidR="007E0725" w:rsidRDefault="00770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Робочий навчальний план </w:t>
      </w:r>
    </w:p>
    <w:p w:rsidR="007E0725" w:rsidRDefault="007E0725">
      <w:pPr>
        <w:jc w:val="center"/>
        <w:rPr>
          <w:b/>
          <w:sz w:val="16"/>
          <w:szCs w:val="16"/>
        </w:rPr>
      </w:pPr>
    </w:p>
    <w:tbl>
      <w:tblPr>
        <w:tblStyle w:val="af"/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7399"/>
        <w:gridCol w:w="518"/>
        <w:gridCol w:w="583"/>
        <w:gridCol w:w="11"/>
        <w:gridCol w:w="497"/>
        <w:gridCol w:w="9"/>
        <w:gridCol w:w="613"/>
      </w:tblGrid>
      <w:tr w:rsidR="007E0725">
        <w:trPr>
          <w:jc w:val="center"/>
        </w:trPr>
        <w:tc>
          <w:tcPr>
            <w:tcW w:w="696" w:type="dxa"/>
            <w:vMerge w:val="restart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7399" w:type="dxa"/>
            <w:vMerge w:val="restart"/>
          </w:tcPr>
          <w:p w:rsidR="007E0725" w:rsidRDefault="007E0725">
            <w:pPr>
              <w:jc w:val="center"/>
              <w:rPr>
                <w:b/>
                <w:sz w:val="24"/>
                <w:szCs w:val="24"/>
              </w:rPr>
            </w:pPr>
          </w:p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18" w:type="dxa"/>
            <w:vMerge w:val="restart"/>
          </w:tcPr>
          <w:p w:rsidR="007E0725" w:rsidRDefault="0077053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13" w:type="dxa"/>
            <w:gridSpan w:val="5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Аудиторні</w:t>
            </w:r>
          </w:p>
        </w:tc>
      </w:tr>
      <w:tr w:rsidR="007E0725">
        <w:trPr>
          <w:trHeight w:val="1389"/>
          <w:jc w:val="center"/>
        </w:trPr>
        <w:tc>
          <w:tcPr>
            <w:tcW w:w="696" w:type="dxa"/>
            <w:vMerge/>
          </w:tcPr>
          <w:p w:rsidR="007E0725" w:rsidRDefault="007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399" w:type="dxa"/>
            <w:vMerge/>
          </w:tcPr>
          <w:p w:rsidR="007E0725" w:rsidRDefault="007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:rsidR="007E0725" w:rsidRDefault="007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Лекції</w:t>
            </w:r>
          </w:p>
        </w:tc>
        <w:tc>
          <w:tcPr>
            <w:tcW w:w="506" w:type="dxa"/>
            <w:gridSpan w:val="2"/>
            <w:vAlign w:val="center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Семінари</w:t>
            </w:r>
          </w:p>
        </w:tc>
        <w:tc>
          <w:tcPr>
            <w:tcW w:w="613" w:type="dxa"/>
            <w:vAlign w:val="center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Практичні</w:t>
            </w:r>
          </w:p>
        </w:tc>
      </w:tr>
      <w:tr w:rsidR="007E0725">
        <w:trPr>
          <w:jc w:val="center"/>
        </w:trPr>
        <w:tc>
          <w:tcPr>
            <w:tcW w:w="8095" w:type="dxa"/>
            <w:gridSpan w:val="2"/>
            <w:shd w:val="clear" w:color="auto" w:fill="FBD5B5"/>
          </w:tcPr>
          <w:p w:rsidR="007E0725" w:rsidRDefault="007705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  <w:tc>
          <w:tcPr>
            <w:tcW w:w="518" w:type="dxa"/>
            <w:shd w:val="clear" w:color="auto" w:fill="FBD5B5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  <w:shd w:val="clear" w:color="auto" w:fill="FBD5B5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  <w:shd w:val="clear" w:color="auto" w:fill="FBD5B5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5B5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8095" w:type="dxa"/>
            <w:gridSpan w:val="2"/>
            <w:shd w:val="clear" w:color="auto" w:fill="FBD5B5"/>
          </w:tcPr>
          <w:p w:rsidR="007E0725" w:rsidRDefault="007705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518" w:type="dxa"/>
            <w:shd w:val="clear" w:color="auto" w:fill="FBD5B5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shd w:val="clear" w:color="auto" w:fill="FBD5B5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8" w:type="dxa"/>
            <w:gridSpan w:val="2"/>
            <w:shd w:val="clear" w:color="auto" w:fill="FBD5B5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5B5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0725">
        <w:trPr>
          <w:jc w:val="center"/>
        </w:trPr>
        <w:tc>
          <w:tcPr>
            <w:tcW w:w="8095" w:type="dxa"/>
            <w:gridSpan w:val="2"/>
            <w:shd w:val="clear" w:color="auto" w:fill="FBD5B5"/>
          </w:tcPr>
          <w:p w:rsidR="007E0725" w:rsidRDefault="00770536">
            <w:pPr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ІІІ. Методичні механізми реалізації завдань Державного стандарту початкової освіти</w:t>
            </w:r>
          </w:p>
        </w:tc>
        <w:tc>
          <w:tcPr>
            <w:tcW w:w="518" w:type="dxa"/>
            <w:shd w:val="clear" w:color="auto" w:fill="FBD5B5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83" w:type="dxa"/>
            <w:shd w:val="clear" w:color="auto" w:fill="FBD5B5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BD5B5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5B5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7E0725">
        <w:trPr>
          <w:jc w:val="center"/>
        </w:trPr>
        <w:tc>
          <w:tcPr>
            <w:tcW w:w="8095" w:type="dxa"/>
            <w:gridSpan w:val="2"/>
            <w:shd w:val="clear" w:color="auto" w:fill="F2F2F2"/>
          </w:tcPr>
          <w:p w:rsidR="007E0725" w:rsidRDefault="0077053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  <w:tc>
          <w:tcPr>
            <w:tcW w:w="518" w:type="dxa"/>
            <w:shd w:val="clear" w:color="auto" w:fill="F2F2F2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83" w:type="dxa"/>
            <w:shd w:val="clear" w:color="auto" w:fill="F2F2F2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7E0725">
        <w:trPr>
          <w:jc w:val="center"/>
        </w:trPr>
        <w:tc>
          <w:tcPr>
            <w:tcW w:w="8095" w:type="dxa"/>
            <w:gridSpan w:val="2"/>
            <w:shd w:val="clear" w:color="auto" w:fill="auto"/>
          </w:tcPr>
          <w:p w:rsidR="007E0725" w:rsidRDefault="007705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Нормативно-правове  та  програмно-методичне забезпечення змісту початкової освіти</w:t>
            </w:r>
          </w:p>
        </w:tc>
        <w:tc>
          <w:tcPr>
            <w:tcW w:w="518" w:type="dxa"/>
            <w:shd w:val="clear" w:color="auto" w:fill="auto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83" w:type="dxa"/>
            <w:shd w:val="clear" w:color="auto" w:fill="auto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auto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Нормативно-правове забезпечення діяльності початкової освіти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Програмове та навчально-методичне забезпечення змісту Нової української школи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8095" w:type="dxa"/>
            <w:gridSpan w:val="2"/>
          </w:tcPr>
          <w:p w:rsidR="007E0725" w:rsidRDefault="007705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Організація освітнього процесу в Новій українській школі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7399" w:type="dxa"/>
          </w:tcPr>
          <w:p w:rsidR="007E0725" w:rsidRDefault="00770536" w:rsidP="00770536">
            <w:pPr>
              <w:spacing w:line="254" w:lineRule="auto"/>
              <w:jc w:val="both"/>
              <w:rPr>
                <w:sz w:val="24"/>
                <w:szCs w:val="24"/>
              </w:rPr>
            </w:pPr>
            <w:r>
              <w:t xml:space="preserve">Концептуальні засади Державного стандарту  початкової освіти 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Дитиноцентризм</w:t>
            </w:r>
            <w:proofErr w:type="spellEnd"/>
            <w:r>
              <w:rPr>
                <w:sz w:val="24"/>
                <w:szCs w:val="24"/>
              </w:rPr>
              <w:t xml:space="preserve"> як особистісно орієнтована модель організації освітнього процесу в школі  І ступеня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Формувальне оцінювання як засіб управління самооцінкою молодшого школяра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8095" w:type="dxa"/>
            <w:gridSpan w:val="2"/>
          </w:tcPr>
          <w:p w:rsidR="007E0725" w:rsidRDefault="00770536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Організація освітнього процесу в групі подовженого дня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7399" w:type="dxa"/>
          </w:tcPr>
          <w:p w:rsidR="007E0725" w:rsidRDefault="00770536" w:rsidP="0077053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Особливості створення освітнього середовища в умовах групи подовженого дня </w:t>
            </w:r>
          </w:p>
        </w:tc>
        <w:tc>
          <w:tcPr>
            <w:tcW w:w="518" w:type="dxa"/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7399" w:type="dxa"/>
          </w:tcPr>
          <w:p w:rsidR="007E0725" w:rsidRDefault="00770536" w:rsidP="00770536">
            <w:pPr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Методика формування дослідницької діяльності молодших школярів </w:t>
            </w:r>
          </w:p>
        </w:tc>
        <w:tc>
          <w:tcPr>
            <w:tcW w:w="518" w:type="dxa"/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7399" w:type="dxa"/>
          </w:tcPr>
          <w:p w:rsidR="007E0725" w:rsidRDefault="00770536" w:rsidP="00770536">
            <w:pPr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Формування у молодших школярів уміння спостерігати у процесі проведення уроків-екскурсій </w:t>
            </w:r>
          </w:p>
        </w:tc>
        <w:tc>
          <w:tcPr>
            <w:tcW w:w="518" w:type="dxa"/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7399" w:type="dxa"/>
          </w:tcPr>
          <w:p w:rsidR="007E0725" w:rsidRDefault="00770536" w:rsidP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Інтегрований підхід до організації навчально-пізнавальної діяльності молодших школярів у процесі формування математичної </w:t>
            </w:r>
            <w:r>
              <w:rPr>
                <w:color w:val="000000"/>
                <w:sz w:val="24"/>
                <w:szCs w:val="24"/>
              </w:rPr>
              <w:t xml:space="preserve">компетентності </w:t>
            </w:r>
          </w:p>
        </w:tc>
        <w:tc>
          <w:tcPr>
            <w:tcW w:w="518" w:type="dxa"/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7399" w:type="dxa"/>
          </w:tcPr>
          <w:p w:rsidR="007E0725" w:rsidRDefault="00770536" w:rsidP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Формування основ комунікативної компетентності молодшого школяра у процесі роботи з дитячою книжкою </w:t>
            </w:r>
          </w:p>
        </w:tc>
        <w:tc>
          <w:tcPr>
            <w:tcW w:w="518" w:type="dxa"/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7399" w:type="dxa"/>
          </w:tcPr>
          <w:p w:rsidR="007E0725" w:rsidRDefault="00770536" w:rsidP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Раціональні способи організації самопідготовки з математики на групі продовженого дня </w:t>
            </w:r>
          </w:p>
        </w:tc>
        <w:tc>
          <w:tcPr>
            <w:tcW w:w="518" w:type="dxa"/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7399" w:type="dxa"/>
          </w:tcPr>
          <w:p w:rsidR="007E0725" w:rsidRDefault="00770536" w:rsidP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7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Толерантне ставлення до дітей з особливими потребами </w:t>
            </w:r>
          </w:p>
        </w:tc>
        <w:tc>
          <w:tcPr>
            <w:tcW w:w="518" w:type="dxa"/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8095" w:type="dxa"/>
            <w:gridSpan w:val="2"/>
          </w:tcPr>
          <w:p w:rsidR="007E0725" w:rsidRDefault="00770536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Організація фізкультурно-оздоровчої роботи в групі подовженого дня</w:t>
            </w:r>
          </w:p>
        </w:tc>
        <w:tc>
          <w:tcPr>
            <w:tcW w:w="518" w:type="dxa"/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  <w:tc>
          <w:tcPr>
            <w:tcW w:w="7399" w:type="dxa"/>
          </w:tcPr>
          <w:p w:rsidR="007E0725" w:rsidRDefault="00770536" w:rsidP="00770536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Фізкультурно-оздоровчі заходи в освітньому середовищі школи І ступеня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  <w:tc>
          <w:tcPr>
            <w:tcW w:w="7399" w:type="dxa"/>
          </w:tcPr>
          <w:p w:rsidR="007E0725" w:rsidRDefault="00770536" w:rsidP="00770536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Організація рухової активності учнів в умовах групи подовженого дня </w:t>
            </w:r>
            <w:r>
              <w:rPr>
                <w:color w:val="FF0000"/>
                <w:sz w:val="24"/>
                <w:szCs w:val="24"/>
              </w:rPr>
              <w:t>(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</w:p>
        </w:tc>
        <w:tc>
          <w:tcPr>
            <w:tcW w:w="7399" w:type="dxa"/>
          </w:tcPr>
          <w:p w:rsidR="007E0725" w:rsidRDefault="00770536" w:rsidP="00770536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Інтегрований підхід до формування </w:t>
            </w:r>
            <w:proofErr w:type="spellStart"/>
            <w:r>
              <w:rPr>
                <w:sz w:val="24"/>
                <w:szCs w:val="24"/>
              </w:rPr>
              <w:t>здоров’язбережувальної</w:t>
            </w:r>
            <w:proofErr w:type="spellEnd"/>
            <w:r>
              <w:rPr>
                <w:sz w:val="24"/>
                <w:szCs w:val="24"/>
              </w:rPr>
              <w:t xml:space="preserve"> компетентності молодшого школяра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8095" w:type="dxa"/>
            <w:gridSpan w:val="2"/>
            <w:shd w:val="clear" w:color="auto" w:fill="F2F2F2"/>
          </w:tcPr>
          <w:p w:rsidR="007E0725" w:rsidRDefault="0077053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18" w:type="dxa"/>
            <w:shd w:val="clear" w:color="auto" w:fill="F2F2F2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shd w:val="clear" w:color="auto" w:fill="F2F2F2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E0725">
        <w:trPr>
          <w:jc w:val="center"/>
        </w:trPr>
        <w:tc>
          <w:tcPr>
            <w:tcW w:w="8095" w:type="dxa"/>
            <w:gridSpan w:val="2"/>
          </w:tcPr>
          <w:p w:rsidR="007E0725" w:rsidRDefault="00770536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Інноваційні підходи до організації позаурочної роботи молодших школярів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Формування в учнів молодшого шкільного віку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у галузі природничих наук, техніки і технологій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Організація музично-ігрової, музично-ритмічної діяльності молодших школярів в освітньому процесі Нової української школи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Використання інструментів </w:t>
            </w:r>
            <w:proofErr w:type="spellStart"/>
            <w:r>
              <w:rPr>
                <w:color w:val="000000"/>
                <w:sz w:val="24"/>
                <w:szCs w:val="24"/>
              </w:rPr>
              <w:t>коучінгу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освітньому середовищі Нової української школи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Виготовлення м’якої іграшки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8095" w:type="dxa"/>
            <w:gridSpan w:val="2"/>
          </w:tcPr>
          <w:p w:rsidR="007E0725" w:rsidRDefault="00770536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Використання інформаційно-комунікаційних технологій в умовах групи подовженого дня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Сторітелінг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як спосіб розвитку креативності молодшого школяра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3.21.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Використання інтерактивної дошки в умовах початкової школи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Створення учнівського навчального проекту з використанням цифрових технологій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0725">
        <w:trPr>
          <w:jc w:val="center"/>
        </w:trPr>
        <w:tc>
          <w:tcPr>
            <w:tcW w:w="8095" w:type="dxa"/>
            <w:gridSpan w:val="2"/>
          </w:tcPr>
          <w:p w:rsidR="007E0725" w:rsidRDefault="00770536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Організація роботи з батьками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3.23.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Сучасна українська сім’я: проблеми та перспективи партнерства в Новій українській школі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3.24.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Узи співпраці: налагодження партнерської взаємодії школи та батьківської громадськості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Особливості організації роботи з батьками: як налагодити партнерство?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8095" w:type="dxa"/>
            <w:gridSpan w:val="2"/>
          </w:tcPr>
          <w:p w:rsidR="007E0725" w:rsidRDefault="00770536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Організація ігрової діяльності в групі подовженого дня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3.26.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Ігрові та діяльнісні методи у початковій школі 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gridSpan w:val="2"/>
          </w:tcPr>
          <w:p w:rsidR="007E0725" w:rsidRDefault="007E07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0725">
        <w:trPr>
          <w:jc w:val="center"/>
        </w:trPr>
        <w:tc>
          <w:tcPr>
            <w:tcW w:w="8095" w:type="dxa"/>
            <w:gridSpan w:val="2"/>
          </w:tcPr>
          <w:p w:rsidR="007E0725" w:rsidRDefault="00770536">
            <w:pPr>
              <w:jc w:val="both"/>
              <w:rPr>
                <w:i/>
              </w:rPr>
            </w:pPr>
            <w:r>
              <w:rPr>
                <w:i/>
              </w:rPr>
              <w:t>Психологічний супровід освітнього процесу в школі І ступеня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3.27.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</w:pPr>
            <w:r>
              <w:t xml:space="preserve">Психологічні особливості спілкування школярів різного віку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3.28.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</w:pPr>
            <w:r>
              <w:t xml:space="preserve">Маски </w:t>
            </w:r>
            <w:proofErr w:type="spellStart"/>
            <w:r>
              <w:t>булінгу</w:t>
            </w:r>
            <w:proofErr w:type="spellEnd"/>
            <w:r>
              <w:t xml:space="preserve">: засоби розпізнавання та протидія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3.29.</w:t>
            </w:r>
          </w:p>
        </w:tc>
        <w:tc>
          <w:tcPr>
            <w:tcW w:w="7399" w:type="dxa"/>
          </w:tcPr>
          <w:p w:rsidR="007E0725" w:rsidRDefault="00770536" w:rsidP="00770536">
            <w:pPr>
              <w:jc w:val="both"/>
            </w:pPr>
            <w:r>
              <w:t xml:space="preserve">Професійний розвиток вчителя: відкритість до змін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3.30.</w:t>
            </w:r>
          </w:p>
        </w:tc>
        <w:tc>
          <w:tcPr>
            <w:tcW w:w="7399" w:type="dxa"/>
          </w:tcPr>
          <w:p w:rsidR="007E0725" w:rsidRDefault="00770536" w:rsidP="00770536">
            <w:pPr>
              <w:spacing w:line="216" w:lineRule="auto"/>
              <w:jc w:val="both"/>
            </w:pPr>
            <w:r>
              <w:t xml:space="preserve">Профілактика та подолання професійного та емоційного вигорання у педагогів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8095" w:type="dxa"/>
            <w:gridSpan w:val="2"/>
            <w:shd w:val="clear" w:color="auto" w:fill="F2F2F2"/>
          </w:tcPr>
          <w:p w:rsidR="007E0725" w:rsidRDefault="0077053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Спецкурси за вибором</w:t>
            </w:r>
          </w:p>
        </w:tc>
        <w:tc>
          <w:tcPr>
            <w:tcW w:w="518" w:type="dxa"/>
            <w:shd w:val="clear" w:color="auto" w:fill="F2F2F2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  <w:shd w:val="clear" w:color="auto" w:fill="F2F2F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2F2F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2F2F2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E0725">
        <w:trPr>
          <w:jc w:val="center"/>
        </w:trPr>
        <w:tc>
          <w:tcPr>
            <w:tcW w:w="8095" w:type="dxa"/>
            <w:gridSpan w:val="2"/>
            <w:shd w:val="clear" w:color="auto" w:fill="FBD5B5"/>
          </w:tcPr>
          <w:p w:rsidR="007E0725" w:rsidRDefault="007705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  <w:tc>
          <w:tcPr>
            <w:tcW w:w="518" w:type="dxa"/>
            <w:shd w:val="clear" w:color="auto" w:fill="FBD5B5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FBD5B5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  <w:shd w:val="clear" w:color="auto" w:fill="FBD5B5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  <w:shd w:val="clear" w:color="auto" w:fill="FBD5B5"/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7399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Настановче</w:t>
            </w:r>
            <w:proofErr w:type="spellEnd"/>
            <w:r>
              <w:rPr>
                <w:sz w:val="24"/>
                <w:szCs w:val="24"/>
              </w:rPr>
              <w:t xml:space="preserve"> заняття. Вхідне діагностування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7399" w:type="dxa"/>
          </w:tcPr>
          <w:p w:rsidR="007E0725" w:rsidRDefault="00770536">
            <w:pPr>
              <w:spacing w:befor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Тематична дискусія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Реалізація концептуальних засад Нової української школи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0725">
        <w:trPr>
          <w:jc w:val="center"/>
        </w:trPr>
        <w:tc>
          <w:tcPr>
            <w:tcW w:w="696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7399" w:type="dxa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18" w:type="dxa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7E0725" w:rsidRDefault="00770536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8" w:type="dxa"/>
            <w:gridSpan w:val="2"/>
          </w:tcPr>
          <w:p w:rsidR="007E0725" w:rsidRDefault="00770536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2" w:type="dxa"/>
            <w:gridSpan w:val="2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E0725" w:rsidRDefault="007E0725">
      <w:pPr>
        <w:jc w:val="center"/>
        <w:rPr>
          <w:b/>
          <w:sz w:val="28"/>
          <w:szCs w:val="28"/>
        </w:rPr>
      </w:pPr>
    </w:p>
    <w:p w:rsidR="007E0725" w:rsidRDefault="00770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 програми</w:t>
      </w:r>
    </w:p>
    <w:p w:rsidR="007E0725" w:rsidRDefault="007E0725">
      <w:pPr>
        <w:jc w:val="center"/>
        <w:rPr>
          <w:b/>
          <w:sz w:val="16"/>
          <w:szCs w:val="16"/>
        </w:rPr>
      </w:pPr>
    </w:p>
    <w:tbl>
      <w:tblPr>
        <w:tblStyle w:val="af0"/>
        <w:tblW w:w="10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1"/>
        <w:gridCol w:w="48"/>
        <w:gridCol w:w="9427"/>
      </w:tblGrid>
      <w:tr w:rsidR="007E0725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7E0725" w:rsidRDefault="007E0725">
            <w:pPr>
              <w:jc w:val="center"/>
              <w:rPr>
                <w:b/>
                <w:sz w:val="16"/>
                <w:szCs w:val="16"/>
              </w:rPr>
            </w:pPr>
          </w:p>
          <w:p w:rsidR="007E0725" w:rsidRDefault="00770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7E0725">
        <w:trPr>
          <w:trHeight w:val="317"/>
          <w:jc w:val="center"/>
        </w:trPr>
        <w:tc>
          <w:tcPr>
            <w:tcW w:w="696" w:type="dxa"/>
            <w:gridSpan w:val="2"/>
            <w:vMerge/>
          </w:tcPr>
          <w:p w:rsidR="007E0725" w:rsidRDefault="007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7E0725" w:rsidRDefault="007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E0725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7E0725" w:rsidRDefault="007705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І. Філософія освіти XXІ століття</w:t>
            </w:r>
          </w:p>
        </w:tc>
      </w:tr>
      <w:tr w:rsidR="007E0725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7E0725" w:rsidRDefault="007705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7E0725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7E0725" w:rsidRDefault="00770536">
            <w:pPr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ІІІ. Методичні механізми реалізації завдань Державного стандарту початкової освіти</w:t>
            </w:r>
          </w:p>
        </w:tc>
      </w:tr>
      <w:tr w:rsidR="007E0725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7E0725" w:rsidRDefault="0077053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Інваріантна частина</w:t>
            </w:r>
          </w:p>
        </w:tc>
      </w:tr>
      <w:tr w:rsidR="007E0725">
        <w:trPr>
          <w:jc w:val="center"/>
        </w:trPr>
        <w:tc>
          <w:tcPr>
            <w:tcW w:w="675" w:type="dxa"/>
            <w:shd w:val="clear" w:color="auto" w:fill="auto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7E0725" w:rsidRDefault="007705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Нормативно-правове  та  програмно-методичне забезпечення змісту початкової освіти</w:t>
            </w:r>
          </w:p>
        </w:tc>
      </w:tr>
      <w:tr w:rsidR="007E0725">
        <w:trPr>
          <w:jc w:val="center"/>
        </w:trPr>
        <w:tc>
          <w:tcPr>
            <w:tcW w:w="675" w:type="dxa"/>
            <w:shd w:val="clear" w:color="auto" w:fill="auto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7E0725" w:rsidRDefault="007705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Організація освітнього процесу в Новій українській школі</w:t>
            </w:r>
          </w:p>
        </w:tc>
      </w:tr>
      <w:tr w:rsidR="007E0725">
        <w:trPr>
          <w:jc w:val="center"/>
        </w:trPr>
        <w:tc>
          <w:tcPr>
            <w:tcW w:w="675" w:type="dxa"/>
            <w:shd w:val="clear" w:color="auto" w:fill="auto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7E0725" w:rsidRDefault="00770536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Організація освітнього процесу в групі подовженого дня</w:t>
            </w:r>
          </w:p>
        </w:tc>
      </w:tr>
      <w:tr w:rsidR="007E0725">
        <w:trPr>
          <w:jc w:val="center"/>
        </w:trPr>
        <w:tc>
          <w:tcPr>
            <w:tcW w:w="675" w:type="dxa"/>
            <w:shd w:val="clear" w:color="auto" w:fill="auto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7E0725" w:rsidRDefault="00770536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Організація фізкультурно-оздоровчої роботи в групі подовженого дня</w:t>
            </w:r>
          </w:p>
        </w:tc>
      </w:tr>
      <w:tr w:rsidR="007E0725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7E0725" w:rsidRDefault="0077053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7E0725">
        <w:trPr>
          <w:jc w:val="center"/>
        </w:trPr>
        <w:tc>
          <w:tcPr>
            <w:tcW w:w="675" w:type="dxa"/>
            <w:shd w:val="clear" w:color="auto" w:fill="auto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7E0725" w:rsidRDefault="00770536">
            <w:pPr>
              <w:spacing w:line="23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Інноваційні підходи до організації позаурочної роботи молодших школярів</w:t>
            </w:r>
          </w:p>
        </w:tc>
      </w:tr>
      <w:tr w:rsidR="007E0725">
        <w:trPr>
          <w:jc w:val="center"/>
        </w:trPr>
        <w:tc>
          <w:tcPr>
            <w:tcW w:w="675" w:type="dxa"/>
            <w:shd w:val="clear" w:color="auto" w:fill="auto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7E0725" w:rsidRDefault="00770536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Використання інформаційно-комунікаційних технологій в умовах групи подовженого дня</w:t>
            </w:r>
          </w:p>
        </w:tc>
      </w:tr>
      <w:tr w:rsidR="007E0725">
        <w:trPr>
          <w:jc w:val="center"/>
        </w:trPr>
        <w:tc>
          <w:tcPr>
            <w:tcW w:w="675" w:type="dxa"/>
            <w:shd w:val="clear" w:color="auto" w:fill="auto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7E0725" w:rsidRDefault="00770536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Організація роботи з батьками</w:t>
            </w:r>
          </w:p>
        </w:tc>
      </w:tr>
      <w:tr w:rsidR="007E0725">
        <w:trPr>
          <w:jc w:val="center"/>
        </w:trPr>
        <w:tc>
          <w:tcPr>
            <w:tcW w:w="675" w:type="dxa"/>
            <w:shd w:val="clear" w:color="auto" w:fill="auto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7E0725" w:rsidRDefault="00770536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Організація ігрової діяльності в групі подовженого дня</w:t>
            </w:r>
          </w:p>
        </w:tc>
      </w:tr>
      <w:tr w:rsidR="007E0725">
        <w:trPr>
          <w:jc w:val="center"/>
        </w:trPr>
        <w:tc>
          <w:tcPr>
            <w:tcW w:w="675" w:type="dxa"/>
            <w:shd w:val="clear" w:color="auto" w:fill="auto"/>
          </w:tcPr>
          <w:p w:rsidR="007E0725" w:rsidRDefault="00770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7E0725" w:rsidRDefault="007705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Психологічний супровід освітнього процесу в школі І ступеня</w:t>
            </w:r>
          </w:p>
        </w:tc>
      </w:tr>
      <w:tr w:rsidR="007E0725">
        <w:trPr>
          <w:jc w:val="center"/>
        </w:trPr>
        <w:tc>
          <w:tcPr>
            <w:tcW w:w="10171" w:type="dxa"/>
            <w:gridSpan w:val="4"/>
            <w:shd w:val="clear" w:color="auto" w:fill="F2F2F2"/>
          </w:tcPr>
          <w:p w:rsidR="007E0725" w:rsidRDefault="0077053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7E0725">
        <w:trPr>
          <w:jc w:val="center"/>
        </w:trPr>
        <w:tc>
          <w:tcPr>
            <w:tcW w:w="10171" w:type="dxa"/>
            <w:gridSpan w:val="4"/>
            <w:shd w:val="clear" w:color="auto" w:fill="FBD5B5"/>
          </w:tcPr>
          <w:p w:rsidR="007E0725" w:rsidRDefault="007705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ІV. Діагностико-аналітичний модуль</w:t>
            </w:r>
          </w:p>
        </w:tc>
      </w:tr>
      <w:tr w:rsidR="007E0725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9427" w:type="dxa"/>
            <w:shd w:val="clear" w:color="auto" w:fill="auto"/>
          </w:tcPr>
          <w:p w:rsidR="007E0725" w:rsidRDefault="007705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7E0725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7E0725" w:rsidRDefault="00770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9427" w:type="dxa"/>
            <w:shd w:val="clear" w:color="auto" w:fill="auto"/>
          </w:tcPr>
          <w:p w:rsidR="007E0725" w:rsidRDefault="007705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7E0725" w:rsidRDefault="007E0725">
      <w:pPr>
        <w:rPr>
          <w:sz w:val="16"/>
          <w:szCs w:val="16"/>
        </w:rPr>
      </w:pPr>
    </w:p>
    <w:p w:rsidR="007E0725" w:rsidRDefault="007E0725">
      <w:pPr>
        <w:jc w:val="both"/>
        <w:rPr>
          <w:sz w:val="24"/>
          <w:szCs w:val="24"/>
        </w:rPr>
      </w:pPr>
    </w:p>
    <w:p w:rsidR="007E0725" w:rsidRDefault="007E0725">
      <w:pPr>
        <w:jc w:val="both"/>
        <w:rPr>
          <w:sz w:val="24"/>
          <w:szCs w:val="24"/>
        </w:rPr>
      </w:pPr>
    </w:p>
    <w:tbl>
      <w:tblPr>
        <w:tblStyle w:val="af1"/>
        <w:tblW w:w="9818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5"/>
        <w:gridCol w:w="6753"/>
      </w:tblGrid>
      <w:tr w:rsidR="007E0725" w:rsidTr="00770536">
        <w:trPr>
          <w:trHeight w:val="277"/>
        </w:trPr>
        <w:tc>
          <w:tcPr>
            <w:tcW w:w="3065" w:type="dxa"/>
            <w:tcBorders>
              <w:left w:val="single" w:sz="6" w:space="0" w:color="000000"/>
            </w:tcBorders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 кредити ЄКТС (70 аудиторних годин, 5 годин – самостійна робота)</w:t>
            </w:r>
          </w:p>
        </w:tc>
      </w:tr>
      <w:tr w:rsidR="007E0725" w:rsidTr="00770536">
        <w:trPr>
          <w:trHeight w:val="551"/>
        </w:trPr>
        <w:tc>
          <w:tcPr>
            <w:tcW w:w="3065" w:type="dxa"/>
            <w:tcBorders>
              <w:left w:val="single" w:sz="6" w:space="0" w:color="000000"/>
            </w:tcBorders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7E0725" w:rsidRDefault="00770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Інституційна (денна) </w:t>
            </w:r>
          </w:p>
        </w:tc>
      </w:tr>
      <w:tr w:rsidR="007E0725" w:rsidTr="00770536">
        <w:trPr>
          <w:trHeight w:val="551"/>
        </w:trPr>
        <w:tc>
          <w:tcPr>
            <w:tcW w:w="3065" w:type="dxa"/>
            <w:tcBorders>
              <w:left w:val="single" w:sz="6" w:space="0" w:color="000000"/>
            </w:tcBorders>
          </w:tcPr>
          <w:p w:rsidR="007E0725" w:rsidRDefault="0077053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Результати навчання</w:t>
            </w:r>
          </w:p>
          <w:p w:rsidR="007E0725" w:rsidRDefault="007E0725">
            <w:pPr>
              <w:rPr>
                <w:b/>
                <w:i/>
                <w:sz w:val="24"/>
                <w:szCs w:val="24"/>
              </w:rPr>
            </w:pPr>
          </w:p>
          <w:p w:rsidR="007E0725" w:rsidRDefault="007E0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53" w:type="dxa"/>
          </w:tcPr>
          <w:p w:rsidR="007E0725" w:rsidRDefault="007705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Загальні компетентності:</w:t>
            </w:r>
          </w:p>
          <w:p w:rsidR="007E0725" w:rsidRDefault="00770536">
            <w:pPr>
              <w:widowControl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Здатність до реалізації завдань Державного стандарту початкової освіти. </w:t>
            </w:r>
          </w:p>
          <w:p w:rsidR="007E0725" w:rsidRDefault="0077053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Знання нормативно-правового та програмно-методичного забезпечення змісту початкової освіти.</w:t>
            </w:r>
          </w:p>
          <w:p w:rsidR="007E0725" w:rsidRDefault="00770536">
            <w:pPr>
              <w:widowControl/>
              <w:numPr>
                <w:ilvl w:val="0"/>
                <w:numId w:val="1"/>
              </w:numPr>
              <w:jc w:val="both"/>
            </w:pPr>
            <w:r>
              <w:t>Знання методичних механізмів реалізації завдань освітніх галузей Державного стандарту початкової освіти.</w:t>
            </w:r>
          </w:p>
          <w:p w:rsidR="007E0725" w:rsidRDefault="00770536">
            <w:pPr>
              <w:widowControl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формувати у молодших школярів ключові компетентності.</w:t>
            </w:r>
          </w:p>
          <w:p w:rsidR="007E0725" w:rsidRDefault="00770536">
            <w:pPr>
              <w:widowControl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організації освітнього процесу в умовах групи подовженого дня.</w:t>
            </w:r>
          </w:p>
          <w:p w:rsidR="007E0725" w:rsidRDefault="0077053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Здатність до організації ігрової діяльності у групі </w:t>
            </w:r>
            <w:r>
              <w:rPr>
                <w:sz w:val="24"/>
                <w:szCs w:val="24"/>
              </w:rPr>
              <w:lastRenderedPageBreak/>
              <w:t>подовженого дня.</w:t>
            </w:r>
          </w:p>
          <w:p w:rsidR="007E0725" w:rsidRDefault="0077053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організації фізкультурно-оздоровчої роботи в групі подовженого дня.</w:t>
            </w:r>
          </w:p>
          <w:p w:rsidR="007E0725" w:rsidRDefault="0077053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до реалізації інноваційних підходів у процесі організації позаурочної роботи молодших школярів.</w:t>
            </w:r>
          </w:p>
          <w:p w:rsidR="007E0725" w:rsidRDefault="0077053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використання інформаційно-комунікаційних технологій в умовах групи подовженого дня.</w:t>
            </w:r>
          </w:p>
          <w:p w:rsidR="007E0725" w:rsidRDefault="0077053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організації ігрової діяльності в групі подовженого дня.</w:t>
            </w:r>
          </w:p>
          <w:p w:rsidR="007E0725" w:rsidRDefault="0077053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Здатність критично використовувати новітні  досягнення педагогічної і психологічної науки </w:t>
            </w:r>
            <w:r>
              <w:rPr>
                <w:sz w:val="24"/>
                <w:szCs w:val="24"/>
              </w:rPr>
              <w:t>та передового педагогічного досвіду.</w:t>
            </w:r>
          </w:p>
          <w:p w:rsidR="007E0725" w:rsidRDefault="0077053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до планування заходів щодо досягнення власних цілей та  професійного розвитку. </w:t>
            </w:r>
          </w:p>
          <w:p w:rsidR="007E0725" w:rsidRDefault="0077053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Визначати перспективи та пріоритетні напрями реформування та розвитку школи І ступеня.</w:t>
            </w:r>
          </w:p>
          <w:p w:rsidR="007E0725" w:rsidRDefault="0077053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Використовувати сучасні педагогічні технол</w:t>
            </w:r>
            <w:r>
              <w:rPr>
                <w:sz w:val="24"/>
                <w:szCs w:val="24"/>
              </w:rPr>
              <w:t>огії.</w:t>
            </w:r>
          </w:p>
          <w:p w:rsidR="007E0725" w:rsidRDefault="0077053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Створювати сучасне освітнє середовище для ефективної організації освітнього процесу в початковій школі.</w:t>
            </w:r>
          </w:p>
          <w:p w:rsidR="007E0725" w:rsidRDefault="0077053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Забезпечувати всебічний розвиток молодшого школяра  відповідно до вікових та індивідуальних психофізіологічних особливостей і потреб.</w:t>
            </w:r>
          </w:p>
          <w:p w:rsidR="007E0725" w:rsidRDefault="0077053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Вміти здійсн</w:t>
            </w:r>
            <w:r>
              <w:rPr>
                <w:sz w:val="24"/>
                <w:szCs w:val="24"/>
              </w:rPr>
              <w:t xml:space="preserve">ювати  самоаналіз результативності діяльності, методи вдосконалення своєї професійної компетентності. </w:t>
            </w:r>
          </w:p>
          <w:p w:rsidR="007E0725" w:rsidRDefault="0077053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Забезпечувати </w:t>
            </w:r>
            <w:proofErr w:type="spellStart"/>
            <w:r>
              <w:rPr>
                <w:sz w:val="24"/>
                <w:szCs w:val="24"/>
              </w:rPr>
              <w:t>компетентнісний</w:t>
            </w:r>
            <w:proofErr w:type="spellEnd"/>
            <w:r>
              <w:rPr>
                <w:sz w:val="24"/>
                <w:szCs w:val="24"/>
              </w:rPr>
              <w:t xml:space="preserve"> підхід до розвитку особистості кожної дитини. </w:t>
            </w:r>
          </w:p>
          <w:p w:rsidR="007E0725" w:rsidRDefault="0077053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Вибудовувати  на партнерських засадах взаємодію з батьками учнів молодшого ш</w:t>
            </w:r>
            <w:r>
              <w:rPr>
                <w:sz w:val="24"/>
                <w:szCs w:val="24"/>
              </w:rPr>
              <w:t>кільного віку.</w:t>
            </w:r>
          </w:p>
        </w:tc>
      </w:tr>
    </w:tbl>
    <w:p w:rsidR="007E0725" w:rsidRDefault="007E0725">
      <w:pPr>
        <w:jc w:val="both"/>
        <w:rPr>
          <w:sz w:val="24"/>
          <w:szCs w:val="24"/>
        </w:rPr>
      </w:pPr>
    </w:p>
    <w:p w:rsidR="007E0725" w:rsidRDefault="007E0725">
      <w:pPr>
        <w:jc w:val="both"/>
        <w:rPr>
          <w:sz w:val="24"/>
          <w:szCs w:val="24"/>
        </w:rPr>
      </w:pPr>
    </w:p>
    <w:p w:rsidR="007E0725" w:rsidRDefault="007E0725">
      <w:pPr>
        <w:rPr>
          <w:i/>
          <w:sz w:val="24"/>
          <w:szCs w:val="24"/>
        </w:rPr>
      </w:pPr>
    </w:p>
    <w:p w:rsidR="007E0725" w:rsidRDefault="007E0725">
      <w:pPr>
        <w:rPr>
          <w:i/>
          <w:sz w:val="24"/>
          <w:szCs w:val="24"/>
        </w:rPr>
      </w:pPr>
    </w:p>
    <w:sectPr w:rsidR="007E0725">
      <w:pgSz w:w="11910" w:h="16840"/>
      <w:pgMar w:top="1120" w:right="160" w:bottom="568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B036E"/>
    <w:multiLevelType w:val="multilevel"/>
    <w:tmpl w:val="8F2E5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E0725"/>
    <w:rsid w:val="00770536"/>
    <w:rsid w:val="007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71F"/>
    <w:pPr>
      <w:autoSpaceDE w:val="0"/>
      <w:autoSpaceDN w:val="0"/>
    </w:pPr>
    <w:rPr>
      <w:lang w:bidi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99"/>
    <w:qFormat/>
    <w:rsid w:val="0097667E"/>
    <w:pPr>
      <w:widowControl/>
      <w:autoSpaceDE/>
      <w:autoSpaceDN/>
      <w:jc w:val="center"/>
    </w:pPr>
    <w:rPr>
      <w:sz w:val="28"/>
      <w:szCs w:val="28"/>
      <w:lang w:eastAsia="ru-RU" w:bidi="ar-SA"/>
    </w:rPr>
  </w:style>
  <w:style w:type="table" w:customStyle="1" w:styleId="TableNormal0">
    <w:name w:val="Table Normal"/>
    <w:uiPriority w:val="2"/>
    <w:semiHidden/>
    <w:unhideWhenUsed/>
    <w:qFormat/>
    <w:rsid w:val="0097667E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7667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7667E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7">
    <w:name w:val="List Paragraph"/>
    <w:basedOn w:val="a"/>
    <w:uiPriority w:val="34"/>
    <w:qFormat/>
    <w:rsid w:val="0097667E"/>
  </w:style>
  <w:style w:type="paragraph" w:customStyle="1" w:styleId="TableParagraph">
    <w:name w:val="Table Paragraph"/>
    <w:basedOn w:val="a"/>
    <w:uiPriority w:val="1"/>
    <w:qFormat/>
    <w:rsid w:val="0097667E"/>
    <w:pPr>
      <w:spacing w:line="262" w:lineRule="exact"/>
      <w:ind w:left="108"/>
    </w:pPr>
  </w:style>
  <w:style w:type="table" w:styleId="a8">
    <w:name w:val="Table Grid"/>
    <w:basedOn w:val="a1"/>
    <w:uiPriority w:val="39"/>
    <w:rsid w:val="0097667E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7667E"/>
    <w:rPr>
      <w:color w:val="0000FF" w:themeColor="hyperlink"/>
      <w:u w:val="single"/>
    </w:rPr>
  </w:style>
  <w:style w:type="paragraph" w:customStyle="1" w:styleId="Default">
    <w:name w:val="Default"/>
    <w:rsid w:val="009766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7667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Абзац списка1"/>
    <w:basedOn w:val="a"/>
    <w:rsid w:val="0097667E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character" w:customStyle="1" w:styleId="apple-converted-space">
    <w:name w:val="apple-converted-space"/>
    <w:basedOn w:val="a0"/>
    <w:rsid w:val="0097667E"/>
  </w:style>
  <w:style w:type="character" w:styleId="aa">
    <w:name w:val="Emphasis"/>
    <w:basedOn w:val="a0"/>
    <w:qFormat/>
    <w:rsid w:val="0097667E"/>
    <w:rPr>
      <w:i/>
      <w:iCs/>
    </w:rPr>
  </w:style>
  <w:style w:type="paragraph" w:styleId="ab">
    <w:name w:val="Normal (Web)"/>
    <w:basedOn w:val="a"/>
    <w:uiPriority w:val="99"/>
    <w:unhideWhenUsed/>
    <w:rsid w:val="00DF09D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docdata">
    <w:name w:val="docdata"/>
    <w:aliases w:val="docy,v5,1427,baiaagaaboqcaaadzamaaaxaawaaaaaaaaaaaaaaaaaaaaaaaaaaaaaaaaaaaaaaaaaaaaaaaaaaaaaaaaaaaaaaaaaaaaaaaaaaaaaaaaaaaaaaaaaaaaaaaaaaaaaaaaaaaaaaaaaaaaaaaaaaaaaaaaaaaaaaaaaaaaaaaaaaaaaaaaaaaaaaaaaaaaaaaaaaaaaaaaaaaaaaaaaaaaaaaaaaaaaaaaaaaaaa"/>
    <w:basedOn w:val="a"/>
    <w:rsid w:val="0061062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71F"/>
    <w:pPr>
      <w:autoSpaceDE w:val="0"/>
      <w:autoSpaceDN w:val="0"/>
    </w:pPr>
    <w:rPr>
      <w:lang w:bidi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99"/>
    <w:qFormat/>
    <w:rsid w:val="0097667E"/>
    <w:pPr>
      <w:widowControl/>
      <w:autoSpaceDE/>
      <w:autoSpaceDN/>
      <w:jc w:val="center"/>
    </w:pPr>
    <w:rPr>
      <w:sz w:val="28"/>
      <w:szCs w:val="28"/>
      <w:lang w:eastAsia="ru-RU" w:bidi="ar-SA"/>
    </w:rPr>
  </w:style>
  <w:style w:type="table" w:customStyle="1" w:styleId="TableNormal0">
    <w:name w:val="Table Normal"/>
    <w:uiPriority w:val="2"/>
    <w:semiHidden/>
    <w:unhideWhenUsed/>
    <w:qFormat/>
    <w:rsid w:val="0097667E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7667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7667E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7">
    <w:name w:val="List Paragraph"/>
    <w:basedOn w:val="a"/>
    <w:uiPriority w:val="34"/>
    <w:qFormat/>
    <w:rsid w:val="0097667E"/>
  </w:style>
  <w:style w:type="paragraph" w:customStyle="1" w:styleId="TableParagraph">
    <w:name w:val="Table Paragraph"/>
    <w:basedOn w:val="a"/>
    <w:uiPriority w:val="1"/>
    <w:qFormat/>
    <w:rsid w:val="0097667E"/>
    <w:pPr>
      <w:spacing w:line="262" w:lineRule="exact"/>
      <w:ind w:left="108"/>
    </w:pPr>
  </w:style>
  <w:style w:type="table" w:styleId="a8">
    <w:name w:val="Table Grid"/>
    <w:basedOn w:val="a1"/>
    <w:uiPriority w:val="39"/>
    <w:rsid w:val="0097667E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7667E"/>
    <w:rPr>
      <w:color w:val="0000FF" w:themeColor="hyperlink"/>
      <w:u w:val="single"/>
    </w:rPr>
  </w:style>
  <w:style w:type="paragraph" w:customStyle="1" w:styleId="Default">
    <w:name w:val="Default"/>
    <w:rsid w:val="009766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7667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Абзац списка1"/>
    <w:basedOn w:val="a"/>
    <w:rsid w:val="0097667E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character" w:customStyle="1" w:styleId="apple-converted-space">
    <w:name w:val="apple-converted-space"/>
    <w:basedOn w:val="a0"/>
    <w:rsid w:val="0097667E"/>
  </w:style>
  <w:style w:type="character" w:styleId="aa">
    <w:name w:val="Emphasis"/>
    <w:basedOn w:val="a0"/>
    <w:qFormat/>
    <w:rsid w:val="0097667E"/>
    <w:rPr>
      <w:i/>
      <w:iCs/>
    </w:rPr>
  </w:style>
  <w:style w:type="paragraph" w:styleId="ab">
    <w:name w:val="Normal (Web)"/>
    <w:basedOn w:val="a"/>
    <w:uiPriority w:val="99"/>
    <w:unhideWhenUsed/>
    <w:rsid w:val="00DF09D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docdata">
    <w:name w:val="docdata"/>
    <w:aliases w:val="docy,v5,1427,baiaagaaboqcaaadzamaaaxaawaaaaaaaaaaaaaaaaaaaaaaaaaaaaaaaaaaaaaaaaaaaaaaaaaaaaaaaaaaaaaaaaaaaaaaaaaaaaaaaaaaaaaaaaaaaaaaaaaaaaaaaaaaaaaaaaaaaaaaaaaaaaaaaaaaaaaaaaaaaaaaaaaaaaaaaaaaaaaaaaaaaaaaaaaaaaaaaaaaaaaaaaaaaaaaaaaaaaaaaaaaaaaa"/>
    <w:basedOn w:val="a"/>
    <w:rsid w:val="0061062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WsdaFC+asZOudl7DuU5nQV8b2A==">AMUW2mU1CIp1tLJ+jpLf8xWrg5Y3y1Jp6+8Kg0XX5POPmBBJwuTOg1BhHIfw8yr8QjPOuZsEuVnLPRQrCH/4355zHGybsg3dpvFUNW3SFBU2rVY3JG7tY3g=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5636</Words>
  <Characters>3213</Characters>
  <Application>Microsoft Office Word</Application>
  <DocSecurity>0</DocSecurity>
  <Lines>26</Lines>
  <Paragraphs>17</Paragraphs>
  <ScaleCrop>false</ScaleCrop>
  <Company>SPecialiST RePack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тоня</cp:lastModifiedBy>
  <cp:revision>3</cp:revision>
  <dcterms:created xsi:type="dcterms:W3CDTF">2020-02-28T12:24:00Z</dcterms:created>
  <dcterms:modified xsi:type="dcterms:W3CDTF">2020-04-03T18:52:00Z</dcterms:modified>
</cp:coreProperties>
</file>