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44" w:rsidRDefault="00B41ED6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1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EA0EF5" w:rsidTr="004B365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0EF5" w:rsidRPr="006E2A72" w:rsidRDefault="00EA0EF5" w:rsidP="00EA0EF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 w:colFirst="0" w:colLast="2"/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EA0EF5" w:rsidRPr="006E2A72" w:rsidRDefault="00EA0EF5" w:rsidP="00EA0EF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EA0EF5" w:rsidRPr="006E2A72" w:rsidRDefault="00EA0EF5" w:rsidP="00EA0E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A0EF5" w:rsidRPr="006E2A72" w:rsidRDefault="00EA0EF5" w:rsidP="00EA0E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0EF5" w:rsidRPr="006E2A72" w:rsidRDefault="00EA0EF5" w:rsidP="00EA0EF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EA0EF5" w:rsidRPr="006E2A72" w:rsidRDefault="00EA0EF5" w:rsidP="00EA0EF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EA0EF5" w:rsidRPr="006E2A72" w:rsidRDefault="00EA0EF5" w:rsidP="00EA0E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  <w:bookmarkEnd w:id="0"/>
    </w:tbl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713A44" w:rsidRDefault="00B41ED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713A44" w:rsidRDefault="00B41ED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713A44" w:rsidRDefault="00B41ED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713A44" w:rsidRDefault="00B41ED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ПЕДАГОГІЧНИХ ПРАЦІВНИКІВ ЗАКЛАДІВ  ОСВІТИ  ЯКІ ЗДІЙСНЮЮТЬ ІНКЛЮЗИВНЕ НАВЧАННЯ УЧНІВ З ООП</w:t>
      </w:r>
    </w:p>
    <w:p w:rsidR="00713A44" w:rsidRDefault="00B41ED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«ІНКЛЮЗИВНА ОСВІТА: ТЕОРІЯ ТА ПРАКТИКА» </w:t>
      </w: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13A44" w:rsidRDefault="00B41ED6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713A44" w:rsidRDefault="00713A44">
      <w:pPr>
        <w:jc w:val="center"/>
        <w:sectPr w:rsidR="00713A44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2"/>
        <w:tblW w:w="9869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567"/>
        <w:gridCol w:w="6370"/>
        <w:gridCol w:w="9"/>
        <w:gridCol w:w="567"/>
      </w:tblGrid>
      <w:tr w:rsidR="00713A44">
        <w:trPr>
          <w:trHeight w:val="554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Луценко Т.М</w:t>
            </w:r>
            <w:r>
              <w:rPr>
                <w:color w:val="000000"/>
                <w:sz w:val="24"/>
                <w:szCs w:val="24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 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Слободяник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Г. І., Дерій О. В.,</w:t>
            </w:r>
            <w:r>
              <w:rPr>
                <w:color w:val="000000"/>
                <w:sz w:val="24"/>
                <w:szCs w:val="24"/>
              </w:rPr>
              <w:t xml:space="preserve"> методисти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кадрів». </w:t>
            </w:r>
          </w:p>
        </w:tc>
      </w:tr>
      <w:tr w:rsidR="00713A44">
        <w:trPr>
          <w:trHeight w:val="551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педагогічних працівників закладів освіти  «Інклюзивна освіта: теорія та практика». </w:t>
            </w:r>
          </w:p>
        </w:tc>
      </w:tr>
      <w:tr w:rsidR="00713A44">
        <w:trPr>
          <w:trHeight w:val="1046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методичний та практичний рівні професійної компетентності педагогічних працівників закладів освіти  відповідно до основних напрямів державної освітньої політики в сфері інклюзивної освіти. </w:t>
            </w:r>
          </w:p>
        </w:tc>
      </w:tr>
      <w:tr w:rsidR="00713A44">
        <w:trPr>
          <w:trHeight w:val="450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 у  здобувачів  освіти   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>: вміння визначати сутність та ознаки інклюзивного освітнього процесу, координувати спільну діяльність із командою фахівців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13A44">
        <w:trPr>
          <w:trHeight w:val="552"/>
        </w:trPr>
        <w:tc>
          <w:tcPr>
            <w:tcW w:w="2356" w:type="dxa"/>
            <w:vMerge w:val="restart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67" w:type="dxa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379" w:type="dxa"/>
            <w:gridSpan w:val="2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67" w:type="dxa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713A44">
        <w:trPr>
          <w:trHeight w:val="270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Вступ до теми </w:t>
            </w:r>
          </w:p>
        </w:tc>
        <w:tc>
          <w:tcPr>
            <w:tcW w:w="567" w:type="dxa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3A44">
        <w:trPr>
          <w:trHeight w:val="55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психологічного здоров’я педагогічних працівників в умовах становлення концепції Нової української школи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3A44">
        <w:trPr>
          <w:trHeight w:val="287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Проблемні питання атестації педагогічних працівників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3A44">
        <w:trPr>
          <w:trHeight w:val="55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Побудова індивідуальної траєкторії професійного розвитку вчителя. Технологія створення Е-портфоліо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3A44">
        <w:trPr>
          <w:trHeight w:val="66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Національне законодавство у сфері інклюзивної освіти. Універсальний дизайн як підхід до формування інклюзивного освітнього середовища: ресурсна кімната, </w:t>
            </w:r>
            <w:proofErr w:type="spellStart"/>
            <w:r>
              <w:rPr>
                <w:color w:val="000000"/>
                <w:sz w:val="24"/>
                <w:szCs w:val="24"/>
              </w:rPr>
              <w:t>медіатека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13A44" w:rsidRDefault="00713A44">
            <w:pPr>
              <w:jc w:val="center"/>
              <w:rPr>
                <w:sz w:val="24"/>
                <w:szCs w:val="24"/>
              </w:rPr>
            </w:pPr>
          </w:p>
        </w:tc>
      </w:tr>
      <w:tr w:rsidR="00713A44">
        <w:trPr>
          <w:trHeight w:val="749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right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освітнього процесу в закладах загальної середньої освіти з інклюзивним навчанням в умовах Нової української школи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3A44" w:rsidRDefault="00B41ED6">
            <w:pPr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3A44">
        <w:trPr>
          <w:trHeight w:val="263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Трирівнева модель підтримки дітей з особливими освітніми потребами в умовах інклюзивного навчання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713A44" w:rsidRDefault="00B41ED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713A44">
        <w:trPr>
          <w:trHeight w:val="55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 розроблення та структурні компоненти індивідуальної програми розвитку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713A44" w:rsidRDefault="00B41ED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13A44">
        <w:trPr>
          <w:trHeight w:val="55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Основні принципи роботи команди психолого-педагогічного супроводу для забезпечення ефективної підтримки дитини з особливими освітніми потребами 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713A44" w:rsidRDefault="00B41ED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13A44">
        <w:trPr>
          <w:trHeight w:val="551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Організаційно-педагогічні аспекти роботи асистента вчителя в класі з інклюзивним навчанням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13A44" w:rsidRDefault="00B41ED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13A44">
        <w:trPr>
          <w:trHeight w:val="290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Партнерська взаємодія з родиною, яка виховує дитину з особливими освітніми потребами:  комунікативні моделі, педагогічні техніки та прийоми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713A44" w:rsidRDefault="00B41ED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13A44">
        <w:trPr>
          <w:trHeight w:val="275"/>
        </w:trPr>
        <w:tc>
          <w:tcPr>
            <w:tcW w:w="2356" w:type="dxa"/>
            <w:vMerge/>
            <w:tcBorders>
              <w:left w:val="single" w:sz="6" w:space="0" w:color="000000"/>
            </w:tcBorders>
          </w:tcPr>
          <w:p w:rsidR="00713A44" w:rsidRDefault="007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713A44" w:rsidRDefault="00713A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 «Теоретичні та практичні аспекти організації інклюзивного навчання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3A44">
        <w:trPr>
          <w:trHeight w:val="277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аудиторні години, 4 годин –самостійна робота)</w:t>
            </w:r>
          </w:p>
        </w:tc>
      </w:tr>
      <w:tr w:rsidR="00713A44">
        <w:trPr>
          <w:trHeight w:val="551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713A44">
        <w:trPr>
          <w:trHeight w:val="10195"/>
        </w:trPr>
        <w:tc>
          <w:tcPr>
            <w:tcW w:w="2356" w:type="dxa"/>
            <w:tcBorders>
              <w:left w:val="single" w:sz="6" w:space="0" w:color="000000"/>
            </w:tcBorders>
          </w:tcPr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7513" w:type="dxa"/>
            <w:gridSpan w:val="4"/>
          </w:tcPr>
          <w:p w:rsidR="00713A44" w:rsidRDefault="00B41E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проведення досліджень на відповідному рівні.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генерування нових ідей та креативності у професійній сфері.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свідомо.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713A44" w:rsidRDefault="00B41ED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713A44" w:rsidRDefault="00713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jc w:val="both"/>
              <w:rPr>
                <w:color w:val="000000"/>
                <w:sz w:val="24"/>
                <w:szCs w:val="24"/>
              </w:rPr>
            </w:pPr>
          </w:p>
          <w:p w:rsidR="00713A44" w:rsidRDefault="00B41E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міжнародного та національного законодавства у сфері інклюзивної освіти;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концептуальних засад інклюзивної освіти (знання та розуміння концепцій і принципів інклюзивної освіти.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3. 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управління освітнім процесом в умовах інклюзивної освіти).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4. Компетентність</w:t>
            </w:r>
            <w:r>
              <w:rPr>
                <w:color w:val="000000"/>
                <w:sz w:val="24"/>
                <w:szCs w:val="24"/>
              </w:rPr>
              <w:t xml:space="preserve"> щодо закономірностей та вікових особливостей дітей з особливими освітніми потребами. 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організації інклюзивного освітнього середовища (знання способів диференціації, адаптації і модифікації навчального змісту, методів викладання; уміння використовувати принципи універсального дизайну в освітньому процесі; уміння розробляти індивідуальну програму розвитку; володіння методами оцінювання, спираючись на сильні сторони дитини).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6. Здатність до організації</w:t>
            </w:r>
            <w:r>
              <w:rPr>
                <w:color w:val="000000"/>
                <w:sz w:val="24"/>
                <w:szCs w:val="24"/>
              </w:rPr>
              <w:t xml:space="preserve"> освітнього процесу та підтримки дітей з особливими освітніми потребами в умовах інклюзивного навчання. 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7. Здатність до створення</w:t>
            </w:r>
            <w:r>
              <w:rPr>
                <w:color w:val="000000"/>
                <w:sz w:val="24"/>
                <w:szCs w:val="24"/>
              </w:rPr>
              <w:t xml:space="preserve"> сприятливих умов для взаємодії дітей в процесі інклюзивного навчання. </w:t>
            </w:r>
          </w:p>
          <w:p w:rsidR="00713A44" w:rsidRDefault="00B4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8. Здатність до оволодіння</w:t>
            </w:r>
            <w:r>
              <w:rPr>
                <w:color w:val="000000"/>
                <w:sz w:val="24"/>
                <w:szCs w:val="24"/>
              </w:rPr>
              <w:t xml:space="preserve"> науково обґрунтованими методами та сучасними технологіями щодо організації власної професійної діяльності з урахуванням особливостей взаємодії із працівниками закладу освіти, а також з батьками дітей з особливими освітніми потребами. </w:t>
            </w:r>
          </w:p>
        </w:tc>
      </w:tr>
    </w:tbl>
    <w:p w:rsidR="00713A44" w:rsidRDefault="00713A44">
      <w:pPr>
        <w:pBdr>
          <w:top w:val="nil"/>
          <w:left w:val="nil"/>
          <w:bottom w:val="nil"/>
          <w:right w:val="nil"/>
          <w:between w:val="nil"/>
        </w:pBdr>
        <w:ind w:left="720" w:right="605"/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</w:p>
    <w:p w:rsidR="00713A44" w:rsidRDefault="00713A44">
      <w:pPr>
        <w:rPr>
          <w:b/>
          <w:sz w:val="28"/>
          <w:szCs w:val="28"/>
        </w:rPr>
      </w:pPr>
    </w:p>
    <w:sectPr w:rsidR="00713A44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E2F59"/>
    <w:multiLevelType w:val="multilevel"/>
    <w:tmpl w:val="28A6DA7C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8BF57F9"/>
    <w:multiLevelType w:val="multilevel"/>
    <w:tmpl w:val="670A5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4"/>
    <w:rsid w:val="000742F4"/>
    <w:rsid w:val="00713A44"/>
    <w:rsid w:val="0088183F"/>
    <w:rsid w:val="00B41ED6"/>
    <w:rsid w:val="00C10C49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204A7-0829-4179-ADD1-4D5EC12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6D58"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46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C46D58"/>
    <w:rPr>
      <w:sz w:val="28"/>
      <w:szCs w:val="28"/>
    </w:rPr>
  </w:style>
  <w:style w:type="paragraph" w:styleId="a5">
    <w:name w:val="List Paragraph"/>
    <w:basedOn w:val="a"/>
    <w:uiPriority w:val="1"/>
    <w:qFormat/>
    <w:rsid w:val="00C46D58"/>
  </w:style>
  <w:style w:type="paragraph" w:customStyle="1" w:styleId="TableParagraph">
    <w:name w:val="Table Paragraph"/>
    <w:basedOn w:val="a"/>
    <w:uiPriority w:val="1"/>
    <w:qFormat/>
    <w:rsid w:val="00C46D58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20">
    <w:name w:val="Основной текст (2)_"/>
    <w:basedOn w:val="a0"/>
    <w:link w:val="21"/>
    <w:locked/>
    <w:rsid w:val="005060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6082"/>
    <w:pPr>
      <w:shd w:val="clear" w:color="auto" w:fill="FFFFFF"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character" w:customStyle="1" w:styleId="22">
    <w:name w:val="Основной текст (2) + Курсив"/>
    <w:basedOn w:val="20"/>
    <w:rsid w:val="005060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3">
    <w:name w:val="Звичайний2"/>
    <w:rsid w:val="00FB4ECB"/>
    <w:pPr>
      <w:widowControl/>
    </w:pPr>
    <w:rPr>
      <w:rFonts w:ascii="Arial" w:eastAsia="Arial" w:hAnsi="Arial" w:cs="Arial"/>
      <w:sz w:val="20"/>
      <w:szCs w:val="20"/>
    </w:rPr>
  </w:style>
  <w:style w:type="character" w:customStyle="1" w:styleId="30">
    <w:name w:val="Основной текст (3)_"/>
    <w:basedOn w:val="a0"/>
    <w:link w:val="31"/>
    <w:rsid w:val="00FB4E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B4ECB"/>
    <w:pPr>
      <w:shd w:val="clear" w:color="auto" w:fill="FFFFFF"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Default">
    <w:name w:val="Default"/>
    <w:uiPriority w:val="99"/>
    <w:rsid w:val="00AC07A9"/>
    <w:pPr>
      <w:widowControl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872F8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72F8C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footer"/>
    <w:basedOn w:val="a"/>
    <w:link w:val="ac"/>
    <w:uiPriority w:val="99"/>
    <w:unhideWhenUsed/>
    <w:rsid w:val="00872F8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72F8C"/>
    <w:rPr>
      <w:rFonts w:ascii="Times New Roman" w:eastAsia="Times New Roman" w:hAnsi="Times New Roman" w:cs="Times New Roman"/>
      <w:lang w:val="uk-UA" w:eastAsia="uk-UA" w:bidi="uk-UA"/>
    </w:rPr>
  </w:style>
  <w:style w:type="character" w:styleId="ad">
    <w:name w:val="Hyperlink"/>
    <w:basedOn w:val="a0"/>
    <w:uiPriority w:val="99"/>
    <w:unhideWhenUsed/>
    <w:rsid w:val="003A6EEF"/>
    <w:rPr>
      <w:color w:val="0000FF" w:themeColor="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1PAnN7Zd1DUxFnsjO2fQKgwDw==">AMUW2mUDLGqYzxIqf65Gws2TuC9KPgEYY3LqPH75K74cA9YH3nUDOoGui2dwI/z50EY/Gl/nAjjzNjoaT5EulB2nR6aft6F+WWYxyEfmEB31P+JcBzEsky39UDkS9KpX7eYoTbgKvN04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2020-01-13T08:11:00Z</dcterms:created>
  <dcterms:modified xsi:type="dcterms:W3CDTF">2021-08-12T11:06:00Z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