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8E" w:rsidRPr="005A5DEE" w:rsidRDefault="0025548E" w:rsidP="00CA2D2C">
      <w:pPr>
        <w:spacing w:before="73" w:line="278" w:lineRule="auto"/>
        <w:ind w:left="-567" w:right="38"/>
        <w:jc w:val="center"/>
        <w:rPr>
          <w:b/>
        </w:rPr>
      </w:pPr>
      <w:r w:rsidRPr="005A5DEE">
        <w:rPr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25548E" w:rsidRPr="005A5DEE" w:rsidRDefault="0025548E">
      <w:pPr>
        <w:rPr>
          <w:b/>
          <w:i/>
          <w:color w:val="000000"/>
          <w:sz w:val="24"/>
          <w:szCs w:val="24"/>
        </w:rPr>
      </w:pPr>
    </w:p>
    <w:p w:rsidR="0025548E" w:rsidRPr="005A5DEE" w:rsidRDefault="0025548E">
      <w:pPr>
        <w:rPr>
          <w:b/>
          <w:i/>
          <w:color w:val="000000"/>
          <w:sz w:val="24"/>
          <w:szCs w:val="24"/>
        </w:rPr>
      </w:pPr>
    </w:p>
    <w:p w:rsidR="0025548E" w:rsidRPr="005A5DEE" w:rsidRDefault="0025548E">
      <w:pPr>
        <w:rPr>
          <w:b/>
          <w:i/>
          <w:color w:val="000000"/>
          <w:sz w:val="24"/>
          <w:szCs w:val="24"/>
        </w:rPr>
      </w:pPr>
    </w:p>
    <w:p w:rsidR="0025548E" w:rsidRPr="005A5DEE" w:rsidRDefault="0025548E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 w:rsidRPr="005A5DEE">
        <w:rPr>
          <w:b/>
          <w:i/>
          <w:sz w:val="24"/>
          <w:szCs w:val="24"/>
        </w:rPr>
        <w:tab/>
      </w:r>
    </w:p>
    <w:tbl>
      <w:tblPr>
        <w:tblW w:w="10031" w:type="dxa"/>
        <w:tblInd w:w="-106" w:type="dxa"/>
        <w:tblLook w:val="00A0"/>
      </w:tblPr>
      <w:tblGrid>
        <w:gridCol w:w="4077"/>
        <w:gridCol w:w="1985"/>
        <w:gridCol w:w="3969"/>
      </w:tblGrid>
      <w:tr w:rsidR="0025548E" w:rsidRPr="00A8397F" w:rsidTr="008A2909">
        <w:tc>
          <w:tcPr>
            <w:tcW w:w="4077" w:type="dxa"/>
          </w:tcPr>
          <w:p w:rsidR="0025548E" w:rsidRPr="00A8397F" w:rsidRDefault="0025548E" w:rsidP="008A2909">
            <w:pPr>
              <w:pStyle w:val="BodyText"/>
              <w:spacing w:before="7"/>
            </w:pPr>
            <w:r w:rsidRPr="00A8397F">
              <w:rPr>
                <w:b/>
                <w:bCs/>
                <w:i/>
                <w:iCs/>
                <w:w w:val="105"/>
              </w:rPr>
              <w:t>СХВАЛЕНО</w:t>
            </w:r>
          </w:p>
          <w:p w:rsidR="0025548E" w:rsidRPr="00A8397F" w:rsidRDefault="0025548E" w:rsidP="008A2909">
            <w:pPr>
              <w:pStyle w:val="BodyText"/>
              <w:spacing w:before="7"/>
            </w:pPr>
            <w:r w:rsidRPr="00A8397F">
              <w:t xml:space="preserve">Протокол засідання вченої ради КНЗ КОР «КОІПОПК» </w:t>
            </w:r>
          </w:p>
          <w:p w:rsidR="0025548E" w:rsidRPr="00A8397F" w:rsidRDefault="0025548E" w:rsidP="008A2909">
            <w:pPr>
              <w:pStyle w:val="BodyText"/>
              <w:spacing w:before="7"/>
              <w:rPr>
                <w:b/>
                <w:bCs/>
                <w:i/>
                <w:iCs/>
              </w:rPr>
            </w:pPr>
            <w:r w:rsidRPr="00A8397F">
              <w:t xml:space="preserve">від 21 січня 2021 року №1 </w:t>
            </w:r>
          </w:p>
        </w:tc>
        <w:tc>
          <w:tcPr>
            <w:tcW w:w="1985" w:type="dxa"/>
          </w:tcPr>
          <w:p w:rsidR="0025548E" w:rsidRPr="00A8397F" w:rsidRDefault="0025548E" w:rsidP="008A2909">
            <w:pPr>
              <w:pStyle w:val="BodyText"/>
              <w:spacing w:before="7"/>
              <w:rPr>
                <w:b/>
                <w:bCs/>
                <w:i/>
                <w:iCs/>
              </w:rPr>
            </w:pPr>
          </w:p>
        </w:tc>
        <w:tc>
          <w:tcPr>
            <w:tcW w:w="3969" w:type="dxa"/>
          </w:tcPr>
          <w:p w:rsidR="0025548E" w:rsidRPr="00A8397F" w:rsidRDefault="0025548E" w:rsidP="008A2909">
            <w:pPr>
              <w:pStyle w:val="BodyText"/>
              <w:spacing w:before="7"/>
              <w:rPr>
                <w:b/>
                <w:bCs/>
                <w:i/>
                <w:iCs/>
                <w:w w:val="105"/>
              </w:rPr>
            </w:pPr>
            <w:r w:rsidRPr="00A8397F">
              <w:rPr>
                <w:b/>
                <w:bCs/>
                <w:i/>
                <w:iCs/>
                <w:w w:val="105"/>
              </w:rPr>
              <w:t>ЗАТВЕРДЖЕНО</w:t>
            </w:r>
          </w:p>
          <w:p w:rsidR="0025548E" w:rsidRPr="00A8397F" w:rsidRDefault="0025548E" w:rsidP="008A2909">
            <w:pPr>
              <w:pStyle w:val="BodyText"/>
              <w:spacing w:before="7"/>
            </w:pPr>
            <w:r w:rsidRPr="00A8397F">
              <w:rPr>
                <w:w w:val="105"/>
              </w:rPr>
              <w:t xml:space="preserve">Наказ </w:t>
            </w:r>
            <w:r w:rsidRPr="00A8397F">
              <w:t xml:space="preserve">КНЗ КОР «КОІПОПК» </w:t>
            </w:r>
          </w:p>
          <w:p w:rsidR="0025548E" w:rsidRPr="00A8397F" w:rsidRDefault="0025548E" w:rsidP="008A2909">
            <w:pPr>
              <w:pStyle w:val="BodyText"/>
              <w:spacing w:before="7"/>
              <w:rPr>
                <w:b/>
                <w:bCs/>
                <w:i/>
                <w:iCs/>
              </w:rPr>
            </w:pPr>
            <w:r w:rsidRPr="00A8397F">
              <w:t>від 22 січня 2021 року 13/1</w:t>
            </w:r>
          </w:p>
        </w:tc>
      </w:tr>
    </w:tbl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spacing w:before="4"/>
        <w:rPr>
          <w:color w:val="000000"/>
          <w:sz w:val="32"/>
          <w:szCs w:val="32"/>
        </w:rPr>
      </w:pPr>
    </w:p>
    <w:p w:rsidR="0025548E" w:rsidRPr="005A5DEE" w:rsidRDefault="0025548E">
      <w:pPr>
        <w:spacing w:before="1"/>
        <w:jc w:val="center"/>
        <w:rPr>
          <w:b/>
          <w:sz w:val="28"/>
          <w:szCs w:val="28"/>
        </w:rPr>
      </w:pPr>
      <w:r w:rsidRPr="005A5DEE">
        <w:rPr>
          <w:b/>
          <w:sz w:val="28"/>
          <w:szCs w:val="28"/>
        </w:rPr>
        <w:t>ОСВІТНЯ ПРОГРАМА</w:t>
      </w:r>
    </w:p>
    <w:p w:rsidR="0025548E" w:rsidRPr="005A5DEE" w:rsidRDefault="0025548E">
      <w:pPr>
        <w:spacing w:before="1"/>
        <w:jc w:val="center"/>
        <w:rPr>
          <w:b/>
          <w:sz w:val="28"/>
          <w:szCs w:val="28"/>
        </w:rPr>
      </w:pPr>
      <w:r w:rsidRPr="005A5DEE">
        <w:rPr>
          <w:b/>
          <w:sz w:val="28"/>
          <w:szCs w:val="28"/>
        </w:rPr>
        <w:t xml:space="preserve">ПІДВИЩЕННЯ ФАХОВОЇ КВАЛІФІКАЦІЇ </w:t>
      </w:r>
    </w:p>
    <w:p w:rsidR="0025548E" w:rsidRPr="005A5DEE" w:rsidRDefault="0025548E" w:rsidP="00D2462B">
      <w:pPr>
        <w:ind w:left="142"/>
        <w:jc w:val="center"/>
        <w:rPr>
          <w:b/>
          <w:bCs/>
          <w:sz w:val="28"/>
          <w:szCs w:val="28"/>
        </w:rPr>
      </w:pPr>
      <w:r w:rsidRPr="005A5DEE">
        <w:rPr>
          <w:b/>
          <w:bCs/>
          <w:sz w:val="28"/>
          <w:szCs w:val="28"/>
        </w:rPr>
        <w:t xml:space="preserve">ПЕДАГОГІЧНИХ ПРАЦІВНИКІВ, ЯКІ МАЮТЬ ЗВАННЯ </w:t>
      </w:r>
    </w:p>
    <w:p w:rsidR="0025548E" w:rsidRPr="005A5DEE" w:rsidRDefault="0025548E" w:rsidP="00D2462B">
      <w:pPr>
        <w:ind w:left="142"/>
        <w:jc w:val="center"/>
        <w:rPr>
          <w:b/>
          <w:bCs/>
          <w:sz w:val="28"/>
          <w:szCs w:val="28"/>
        </w:rPr>
      </w:pPr>
      <w:r w:rsidRPr="005A5DEE">
        <w:rPr>
          <w:b/>
          <w:bCs/>
          <w:sz w:val="28"/>
          <w:szCs w:val="28"/>
        </w:rPr>
        <w:t>«УЧИТЕЛЬ</w:t>
      </w:r>
      <w:r>
        <w:rPr>
          <w:b/>
          <w:bCs/>
          <w:sz w:val="28"/>
          <w:szCs w:val="28"/>
        </w:rPr>
        <w:t>-</w:t>
      </w:r>
      <w:r w:rsidRPr="005A5DEE">
        <w:rPr>
          <w:b/>
          <w:bCs/>
          <w:sz w:val="28"/>
          <w:szCs w:val="28"/>
        </w:rPr>
        <w:t>МЕТОДИСТ»</w:t>
      </w:r>
    </w:p>
    <w:p w:rsidR="0025548E" w:rsidRPr="005A5DEE" w:rsidRDefault="0025548E" w:rsidP="00594FB1">
      <w:pPr>
        <w:jc w:val="center"/>
        <w:rPr>
          <w:b/>
          <w:bCs/>
          <w:sz w:val="28"/>
          <w:szCs w:val="28"/>
        </w:rPr>
      </w:pPr>
      <w:r w:rsidRPr="005A5DEE">
        <w:rPr>
          <w:b/>
          <w:bCs/>
          <w:sz w:val="28"/>
          <w:szCs w:val="28"/>
        </w:rPr>
        <w:t>(учителі зарубіжної літератури, англійської, німецької, французької, російської мов)</w:t>
      </w:r>
    </w:p>
    <w:p w:rsidR="0025548E" w:rsidRPr="005A5DEE" w:rsidRDefault="0025548E">
      <w:pPr>
        <w:jc w:val="center"/>
        <w:rPr>
          <w:b/>
          <w:color w:val="FF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rPr>
          <w:color w:val="000000"/>
          <w:sz w:val="30"/>
          <w:szCs w:val="30"/>
        </w:rPr>
      </w:pPr>
    </w:p>
    <w:p w:rsidR="0025548E" w:rsidRPr="005A5DEE" w:rsidRDefault="0025548E">
      <w:pPr>
        <w:ind w:right="65"/>
        <w:jc w:val="center"/>
        <w:rPr>
          <w:color w:val="000000"/>
          <w:sz w:val="28"/>
          <w:szCs w:val="28"/>
        </w:rPr>
      </w:pPr>
      <w:r w:rsidRPr="005A5DEE">
        <w:rPr>
          <w:color w:val="000000"/>
          <w:sz w:val="28"/>
          <w:szCs w:val="28"/>
        </w:rPr>
        <w:t>Біла Церква – 2021</w:t>
      </w:r>
    </w:p>
    <w:p w:rsidR="0025548E" w:rsidRPr="005A5DEE" w:rsidRDefault="0025548E">
      <w:pPr>
        <w:jc w:val="center"/>
        <w:sectPr w:rsidR="0025548E" w:rsidRPr="005A5DEE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  <w:rtlGutter/>
        </w:sect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25548E" w:rsidRPr="005A5DEE" w:rsidTr="00E87C1E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25548E" w:rsidRPr="00E87C1E" w:rsidRDefault="0025548E" w:rsidP="00E87C1E">
            <w:pPr>
              <w:pStyle w:val="TableParagraph"/>
              <w:autoSpaceDE w:val="0"/>
              <w:autoSpaceDN w:val="0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Упорядник програми</w:t>
            </w:r>
          </w:p>
        </w:tc>
        <w:tc>
          <w:tcPr>
            <w:tcW w:w="6753" w:type="dxa"/>
          </w:tcPr>
          <w:p w:rsidR="0025548E" w:rsidRPr="00461B45" w:rsidRDefault="0025548E" w:rsidP="00461B45">
            <w:pPr>
              <w:pStyle w:val="TableParagraph"/>
              <w:spacing w:line="265" w:lineRule="exact"/>
              <w:ind w:left="142" w:right="142"/>
              <w:jc w:val="both"/>
              <w:rPr>
                <w:sz w:val="24"/>
                <w:szCs w:val="24"/>
              </w:rPr>
            </w:pPr>
            <w:r w:rsidRPr="00CB405E">
              <w:rPr>
                <w:b/>
                <w:sz w:val="24"/>
                <w:szCs w:val="24"/>
              </w:rPr>
              <w:t>Мірошник С.І.,</w:t>
            </w:r>
            <w:r w:rsidRPr="00461B45">
              <w:rPr>
                <w:sz w:val="24"/>
                <w:szCs w:val="24"/>
              </w:rPr>
              <w:t xml:space="preserve"> завідувач кафедри суспільно-гуманітарної освіти Комунального навчального закладу Київ</w:t>
            </w:r>
            <w:r w:rsidRPr="00461B45">
              <w:rPr>
                <w:sz w:val="24"/>
                <w:szCs w:val="24"/>
              </w:rPr>
              <w:softHyphen/>
              <w:t>ської обласної ради «Київський обласний інститут післядип</w:t>
            </w:r>
            <w:r w:rsidRPr="00461B45">
              <w:rPr>
                <w:sz w:val="24"/>
                <w:szCs w:val="24"/>
              </w:rPr>
              <w:softHyphen/>
              <w:t>лом</w:t>
            </w:r>
            <w:r w:rsidRPr="00461B45">
              <w:rPr>
                <w:sz w:val="24"/>
                <w:szCs w:val="24"/>
              </w:rPr>
              <w:softHyphen/>
              <w:t>ної освіти педагогічних кадрів», кандидат педагогічних наук;</w:t>
            </w:r>
          </w:p>
          <w:p w:rsidR="0025548E" w:rsidRPr="00E87C1E" w:rsidRDefault="0025548E" w:rsidP="00461B45">
            <w:pPr>
              <w:pStyle w:val="TableParagraph"/>
              <w:autoSpaceDE w:val="0"/>
              <w:autoSpaceDN w:val="0"/>
              <w:spacing w:line="265" w:lineRule="exact"/>
              <w:ind w:left="144" w:right="489"/>
              <w:jc w:val="both"/>
              <w:rPr>
                <w:sz w:val="24"/>
                <w:szCs w:val="24"/>
              </w:rPr>
            </w:pPr>
            <w:r w:rsidRPr="00CB405E">
              <w:rPr>
                <w:b/>
                <w:sz w:val="24"/>
                <w:szCs w:val="24"/>
              </w:rPr>
              <w:t>Лященко О.Б.,</w:t>
            </w:r>
            <w:r w:rsidRPr="00461B45">
              <w:rPr>
                <w:sz w:val="24"/>
                <w:szCs w:val="24"/>
              </w:rPr>
              <w:t xml:space="preserve"> в.о.завідувача відділу української мови і літератури та зарубіжної літератури Комунального навчального закладу Київ</w:t>
            </w:r>
            <w:r w:rsidRPr="00461B45">
              <w:rPr>
                <w:sz w:val="24"/>
                <w:szCs w:val="24"/>
              </w:rPr>
              <w:softHyphen/>
              <w:t>ської обласної ради «Київський обласний інститут</w:t>
            </w:r>
            <w:r w:rsidRPr="00C03862">
              <w:rPr>
                <w:sz w:val="25"/>
                <w:szCs w:val="25"/>
              </w:rPr>
              <w:t xml:space="preserve"> </w:t>
            </w:r>
            <w:r w:rsidRPr="00461B45">
              <w:rPr>
                <w:sz w:val="24"/>
                <w:szCs w:val="24"/>
              </w:rPr>
              <w:t>післядип</w:t>
            </w:r>
            <w:r w:rsidRPr="00461B45">
              <w:rPr>
                <w:sz w:val="24"/>
                <w:szCs w:val="24"/>
              </w:rPr>
              <w:softHyphen/>
              <w:t>лом</w:t>
            </w:r>
            <w:r w:rsidRPr="00461B45">
              <w:rPr>
                <w:sz w:val="24"/>
                <w:szCs w:val="24"/>
              </w:rPr>
              <w:softHyphen/>
              <w:t>ної освіти педагогічних кадрів»</w:t>
            </w:r>
          </w:p>
        </w:tc>
      </w:tr>
      <w:tr w:rsidR="0025548E" w:rsidRPr="005A5DEE" w:rsidTr="00E87C1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25548E" w:rsidRPr="00E87C1E" w:rsidRDefault="0025548E" w:rsidP="00E87C1E">
            <w:pPr>
              <w:autoSpaceDE w:val="0"/>
              <w:autoSpaceDN w:val="0"/>
              <w:spacing w:line="267" w:lineRule="exact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25548E" w:rsidRPr="00E87C1E" w:rsidRDefault="0025548E" w:rsidP="0061121D">
            <w:pPr>
              <w:autoSpaceDE w:val="0"/>
              <w:autoSpaceDN w:val="0"/>
              <w:ind w:left="144" w:right="489"/>
              <w:jc w:val="both"/>
              <w:rPr>
                <w:sz w:val="24"/>
                <w:szCs w:val="24"/>
              </w:rPr>
            </w:pPr>
            <w:r w:rsidRPr="00E87C1E">
              <w:rPr>
                <w:sz w:val="24"/>
                <w:szCs w:val="24"/>
              </w:rPr>
              <w:t>Освітня програма підвищення фахової кваліфікації педагогічних працівників, які мають звання «учитель</w:t>
            </w:r>
            <w:r>
              <w:rPr>
                <w:sz w:val="24"/>
                <w:szCs w:val="24"/>
              </w:rPr>
              <w:t>–</w:t>
            </w:r>
            <w:r w:rsidRPr="00E87C1E">
              <w:rPr>
                <w:sz w:val="24"/>
                <w:szCs w:val="24"/>
              </w:rPr>
              <w:t>методист» (учителі зарубіжної літератури, англійської, німецької, французької, російської мов)</w:t>
            </w:r>
          </w:p>
        </w:tc>
      </w:tr>
      <w:tr w:rsidR="0025548E" w:rsidRPr="005A5DEE" w:rsidTr="00E87C1E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25548E" w:rsidRPr="00E87C1E" w:rsidRDefault="0025548E" w:rsidP="00E87C1E">
            <w:pPr>
              <w:autoSpaceDE w:val="0"/>
              <w:autoSpaceDN w:val="0"/>
              <w:spacing w:line="267" w:lineRule="exact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25548E" w:rsidRPr="00E87C1E" w:rsidRDefault="0025548E" w:rsidP="0061121D">
            <w:pPr>
              <w:autoSpaceDE w:val="0"/>
              <w:autoSpaceDN w:val="0"/>
              <w:ind w:left="144" w:right="48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87C1E">
              <w:rPr>
                <w:sz w:val="24"/>
                <w:szCs w:val="24"/>
              </w:rPr>
              <w:t>Розви</w:t>
            </w:r>
            <w:r>
              <w:rPr>
                <w:sz w:val="24"/>
                <w:szCs w:val="24"/>
              </w:rPr>
              <w:t>ток</w:t>
            </w:r>
            <w:r w:rsidRPr="00E87C1E">
              <w:rPr>
                <w:sz w:val="24"/>
                <w:szCs w:val="24"/>
              </w:rPr>
              <w:t xml:space="preserve"> професійн</w:t>
            </w:r>
            <w:r>
              <w:rPr>
                <w:sz w:val="24"/>
                <w:szCs w:val="24"/>
              </w:rPr>
              <w:t>ої</w:t>
            </w:r>
            <w:r w:rsidRPr="00E87C1E">
              <w:rPr>
                <w:sz w:val="24"/>
                <w:szCs w:val="24"/>
              </w:rPr>
              <w:t xml:space="preserve"> ком</w:t>
            </w:r>
            <w:r w:rsidRPr="00E87C1E">
              <w:rPr>
                <w:sz w:val="24"/>
                <w:szCs w:val="24"/>
              </w:rPr>
              <w:softHyphen/>
              <w:t>пе</w:t>
            </w:r>
            <w:r w:rsidRPr="00E87C1E">
              <w:rPr>
                <w:sz w:val="24"/>
                <w:szCs w:val="24"/>
              </w:rPr>
              <w:softHyphen/>
              <w:t>тентн</w:t>
            </w:r>
            <w:r>
              <w:rPr>
                <w:sz w:val="24"/>
                <w:szCs w:val="24"/>
              </w:rPr>
              <w:t>о</w:t>
            </w:r>
            <w:r w:rsidRPr="00E87C1E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і</w:t>
            </w:r>
            <w:r w:rsidRPr="00E87C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87C1E">
              <w:rPr>
                <w:sz w:val="24"/>
                <w:szCs w:val="24"/>
              </w:rPr>
              <w:t>чителів української мови і літератури з урахуванням основних напрямів державної політики у галузі освіти, освітніх потреб споживачів освітніх послуг та забезпечення якості освіти</w:t>
            </w:r>
          </w:p>
        </w:tc>
      </w:tr>
      <w:tr w:rsidR="0025548E" w:rsidRPr="005A5DEE" w:rsidTr="00E87C1E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25548E" w:rsidRPr="00E87C1E" w:rsidRDefault="0025548E" w:rsidP="00E87C1E">
            <w:pPr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sz w:val="24"/>
                <w:szCs w:val="24"/>
              </w:rPr>
              <w:t>Напрям підвищення кваліфікації</w:t>
            </w:r>
          </w:p>
        </w:tc>
        <w:tc>
          <w:tcPr>
            <w:tcW w:w="6753" w:type="dxa"/>
          </w:tcPr>
          <w:p w:rsidR="0025548E" w:rsidRPr="00E87C1E" w:rsidRDefault="0025548E" w:rsidP="0061121D">
            <w:pPr>
              <w:shd w:val="clear" w:color="auto" w:fill="FFFFFF"/>
              <w:autoSpaceDE w:val="0"/>
              <w:autoSpaceDN w:val="0"/>
              <w:ind w:left="144" w:right="48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87C1E">
              <w:rPr>
                <w:color w:val="000000"/>
                <w:sz w:val="24"/>
                <w:szCs w:val="24"/>
                <w:lang w:eastAsia="ru-RU"/>
              </w:rPr>
              <w:t>Розвиток професійних компетентностей (знання навчального   предмета, фахових методик, технологій</w:t>
            </w:r>
            <w:r>
              <w:rPr>
                <w:color w:val="000000"/>
                <w:sz w:val="24"/>
                <w:szCs w:val="24"/>
                <w:lang w:eastAsia="ru-RU"/>
              </w:rPr>
              <w:t>, сучасних підходів</w:t>
            </w:r>
            <w:r w:rsidRPr="00E87C1E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25548E" w:rsidRPr="005A5DEE" w:rsidRDefault="0025548E">
      <w:pPr>
        <w:jc w:val="center"/>
        <w:rPr>
          <w:b/>
          <w:sz w:val="28"/>
          <w:szCs w:val="28"/>
        </w:rPr>
      </w:pPr>
    </w:p>
    <w:tbl>
      <w:tblPr>
        <w:tblW w:w="5149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08"/>
        <w:gridCol w:w="5797"/>
        <w:gridCol w:w="1107"/>
        <w:gridCol w:w="499"/>
        <w:gridCol w:w="499"/>
        <w:gridCol w:w="511"/>
        <w:gridCol w:w="667"/>
      </w:tblGrid>
      <w:tr w:rsidR="0025548E" w:rsidRPr="00461B45" w:rsidTr="00461B45">
        <w:trPr>
          <w:cantSplit/>
          <w:trHeight w:val="339"/>
        </w:trPr>
        <w:tc>
          <w:tcPr>
            <w:tcW w:w="454" w:type="pct"/>
            <w:vMerge w:val="restart"/>
          </w:tcPr>
          <w:p w:rsidR="0025548E" w:rsidRPr="00461B45" w:rsidRDefault="0025548E" w:rsidP="007174FA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  <w:p w:rsidR="0025548E" w:rsidRPr="00461B45" w:rsidRDefault="0025548E" w:rsidP="007174FA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  <w:p w:rsidR="0025548E" w:rsidRPr="00461B45" w:rsidRDefault="0025548E" w:rsidP="007174FA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№</w:t>
            </w:r>
          </w:p>
          <w:p w:rsidR="0025548E" w:rsidRPr="00461B45" w:rsidRDefault="0025548E" w:rsidP="007174FA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з/п</w:t>
            </w:r>
          </w:p>
          <w:p w:rsidR="0025548E" w:rsidRPr="00461B45" w:rsidRDefault="0025548E" w:rsidP="007174FA">
            <w:pPr>
              <w:keepNext/>
              <w:ind w:left="142" w:firstLine="54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25548E" w:rsidRPr="00461B45" w:rsidRDefault="0025548E" w:rsidP="007174FA">
            <w:pPr>
              <w:keepNext/>
              <w:ind w:left="142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02" w:type="pct"/>
            <w:vMerge w:val="restart"/>
          </w:tcPr>
          <w:p w:rsidR="0025548E" w:rsidRPr="00461B45" w:rsidRDefault="0025548E" w:rsidP="007174FA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25548E" w:rsidRPr="00461B45" w:rsidRDefault="0025548E" w:rsidP="007174FA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Назва дисципліни</w:t>
            </w:r>
          </w:p>
        </w:tc>
        <w:tc>
          <w:tcPr>
            <w:tcW w:w="554" w:type="pct"/>
            <w:vMerge w:val="restart"/>
            <w:textDirection w:val="btLr"/>
            <w:vAlign w:val="center"/>
          </w:tcPr>
          <w:p w:rsidR="0025548E" w:rsidRPr="00461B45" w:rsidRDefault="0025548E" w:rsidP="00DE4B2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Всього годин</w:t>
            </w:r>
          </w:p>
        </w:tc>
        <w:tc>
          <w:tcPr>
            <w:tcW w:w="755" w:type="pct"/>
            <w:gridSpan w:val="3"/>
            <w:vAlign w:val="center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Аудиторні</w:t>
            </w:r>
          </w:p>
        </w:tc>
        <w:tc>
          <w:tcPr>
            <w:tcW w:w="335" w:type="pct"/>
            <w:vMerge w:val="restart"/>
            <w:shd w:val="clear" w:color="auto" w:fill="D9D9D9"/>
            <w:textDirection w:val="btLr"/>
          </w:tcPr>
          <w:p w:rsidR="0025548E" w:rsidRPr="00461B45" w:rsidRDefault="0025548E" w:rsidP="007174F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Самостійна робота</w:t>
            </w:r>
          </w:p>
        </w:tc>
      </w:tr>
      <w:tr w:rsidR="0025548E" w:rsidRPr="00461B45" w:rsidTr="00461B45">
        <w:trPr>
          <w:cantSplit/>
          <w:trHeight w:val="1555"/>
        </w:trPr>
        <w:tc>
          <w:tcPr>
            <w:tcW w:w="454" w:type="pct"/>
            <w:vMerge/>
            <w:vAlign w:val="center"/>
          </w:tcPr>
          <w:p w:rsidR="0025548E" w:rsidRPr="00461B45" w:rsidRDefault="0025548E" w:rsidP="007174F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902" w:type="pct"/>
            <w:vMerge/>
            <w:vAlign w:val="center"/>
          </w:tcPr>
          <w:p w:rsidR="0025548E" w:rsidRPr="00461B45" w:rsidRDefault="0025548E" w:rsidP="007174FA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center"/>
          </w:tcPr>
          <w:p w:rsidR="0025548E" w:rsidRPr="00461B45" w:rsidRDefault="0025548E" w:rsidP="00DE4B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  <w:textDirection w:val="btLr"/>
            <w:vAlign w:val="center"/>
          </w:tcPr>
          <w:p w:rsidR="0025548E" w:rsidRPr="00461B45" w:rsidRDefault="0025548E" w:rsidP="00DE4B2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250" w:type="pct"/>
            <w:textDirection w:val="btLr"/>
            <w:vAlign w:val="center"/>
          </w:tcPr>
          <w:p w:rsidR="0025548E" w:rsidRPr="00461B45" w:rsidRDefault="0025548E" w:rsidP="00DE4B2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256" w:type="pct"/>
            <w:textDirection w:val="btLr"/>
            <w:vAlign w:val="center"/>
          </w:tcPr>
          <w:p w:rsidR="0025548E" w:rsidRPr="00461B45" w:rsidRDefault="0025548E" w:rsidP="00DE4B2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Практичні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7174F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20"/>
        </w:trPr>
        <w:tc>
          <w:tcPr>
            <w:tcW w:w="3356" w:type="pct"/>
            <w:gridSpan w:val="2"/>
            <w:shd w:val="clear" w:color="auto" w:fill="D9D9D9"/>
          </w:tcPr>
          <w:p w:rsidR="0025548E" w:rsidRPr="00461B45" w:rsidRDefault="0025548E" w:rsidP="007174FA">
            <w:pPr>
              <w:ind w:left="142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МОДУЛЬ І</w:t>
            </w:r>
          </w:p>
        </w:tc>
        <w:tc>
          <w:tcPr>
            <w:tcW w:w="554" w:type="pct"/>
            <w:shd w:val="clear" w:color="auto" w:fill="D9D9D9"/>
          </w:tcPr>
          <w:p w:rsidR="0025548E" w:rsidRPr="00461B45" w:rsidRDefault="0025548E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0" w:type="pct"/>
            <w:shd w:val="clear" w:color="auto" w:fill="D9D9D9"/>
          </w:tcPr>
          <w:p w:rsidR="0025548E" w:rsidRPr="00461B45" w:rsidRDefault="0025548E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D9D9D9"/>
          </w:tcPr>
          <w:p w:rsidR="0025548E" w:rsidRPr="00461B45" w:rsidRDefault="0025548E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D9D9D9"/>
          </w:tcPr>
          <w:p w:rsidR="0025548E" w:rsidRPr="00461B45" w:rsidRDefault="0025548E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5" w:type="pct"/>
            <w:vMerge w:val="restart"/>
            <w:shd w:val="clear" w:color="auto" w:fill="D9D9D9"/>
          </w:tcPr>
          <w:p w:rsidR="0025548E" w:rsidRPr="00461B45" w:rsidRDefault="0025548E" w:rsidP="007174FA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5548E" w:rsidRPr="00461B45" w:rsidTr="00461B45">
        <w:trPr>
          <w:cantSplit/>
          <w:trHeight w:val="143"/>
        </w:trPr>
        <w:tc>
          <w:tcPr>
            <w:tcW w:w="3356" w:type="pct"/>
            <w:gridSpan w:val="2"/>
            <w:shd w:val="clear" w:color="auto" w:fill="F2F2F2"/>
          </w:tcPr>
          <w:p w:rsidR="0025548E" w:rsidRPr="00461B45" w:rsidRDefault="0025548E" w:rsidP="007174FA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Інваріантна частина</w:t>
            </w:r>
            <w:r w:rsidRPr="00461B45">
              <w:rPr>
                <w:bCs/>
                <w:i/>
                <w:iCs/>
                <w:sz w:val="24"/>
                <w:szCs w:val="24"/>
              </w:rPr>
              <w:tab/>
            </w:r>
            <w:r w:rsidRPr="00461B45">
              <w:rPr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554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7174FA">
            <w:pPr>
              <w:rPr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146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  <w:lang w:eastAsia="en-US"/>
              </w:rPr>
              <w:t>Педагогічне партнерство закладу освіти та сім’ї як передумова розвитку особистості та успішного навчання. Педагогічне просвітництво батьків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308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1.2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Формування загальнокультурної та комунікативної компетентностей учнів у ціннісному вимірі Нової української школи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308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1.3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Правопис української мови: історія та сучасність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154"/>
        </w:trPr>
        <w:tc>
          <w:tcPr>
            <w:tcW w:w="3356" w:type="pct"/>
            <w:gridSpan w:val="2"/>
            <w:shd w:val="clear" w:color="auto" w:fill="F2F2F2"/>
          </w:tcPr>
          <w:p w:rsidR="0025548E" w:rsidRPr="00461B45" w:rsidRDefault="0025548E" w:rsidP="007174FA">
            <w:pPr>
              <w:ind w:left="142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Варіативна частина</w:t>
            </w:r>
          </w:p>
        </w:tc>
        <w:tc>
          <w:tcPr>
            <w:tcW w:w="554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7174FA">
            <w:pPr>
              <w:rPr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49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1.4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Пріоритети розвитку української школи в умовах реалізації нового  Закону «Про освіту»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161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1.5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 xml:space="preserve">Використання результатів соціонічних досліджень в освітньому процесі 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20"/>
        </w:trPr>
        <w:tc>
          <w:tcPr>
            <w:tcW w:w="3356" w:type="pct"/>
            <w:gridSpan w:val="2"/>
            <w:shd w:val="clear" w:color="auto" w:fill="D9D9D9"/>
          </w:tcPr>
          <w:p w:rsidR="0025548E" w:rsidRPr="00461B45" w:rsidRDefault="0025548E" w:rsidP="007174FA">
            <w:pPr>
              <w:ind w:left="142"/>
              <w:rPr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МОДУЛЬ ІІ</w:t>
            </w:r>
          </w:p>
        </w:tc>
        <w:tc>
          <w:tcPr>
            <w:tcW w:w="554" w:type="pct"/>
            <w:shd w:val="clear" w:color="auto" w:fill="D9D9D9"/>
          </w:tcPr>
          <w:p w:rsidR="0025548E" w:rsidRPr="00461B45" w:rsidRDefault="0025548E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0" w:type="pct"/>
            <w:shd w:val="clear" w:color="auto" w:fill="D9D9D9"/>
          </w:tcPr>
          <w:p w:rsidR="0025548E" w:rsidRPr="00461B45" w:rsidRDefault="0025548E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D9D9D9"/>
          </w:tcPr>
          <w:p w:rsidR="0025548E" w:rsidRPr="00461B45" w:rsidRDefault="0025548E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D9D9D9"/>
          </w:tcPr>
          <w:p w:rsidR="0025548E" w:rsidRPr="00461B45" w:rsidRDefault="0025548E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5" w:type="pct"/>
            <w:vMerge w:val="restart"/>
            <w:shd w:val="clear" w:color="auto" w:fill="D9D9D9"/>
          </w:tcPr>
          <w:p w:rsidR="0025548E" w:rsidRPr="00461B45" w:rsidRDefault="0025548E" w:rsidP="007174FA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25548E" w:rsidRPr="00461B45" w:rsidTr="00461B45">
        <w:trPr>
          <w:cantSplit/>
          <w:trHeight w:val="20"/>
        </w:trPr>
        <w:tc>
          <w:tcPr>
            <w:tcW w:w="3356" w:type="pct"/>
            <w:gridSpan w:val="2"/>
            <w:shd w:val="clear" w:color="auto" w:fill="F2F2F2"/>
          </w:tcPr>
          <w:p w:rsidR="0025548E" w:rsidRPr="00461B45" w:rsidRDefault="0025548E" w:rsidP="007174FA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Інваріантна частина</w:t>
            </w:r>
          </w:p>
        </w:tc>
        <w:tc>
          <w:tcPr>
            <w:tcW w:w="554" w:type="pct"/>
            <w:shd w:val="clear" w:color="auto" w:fill="F2F2F2"/>
          </w:tcPr>
          <w:p w:rsidR="0025548E" w:rsidRPr="00461B45" w:rsidRDefault="0025548E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7174FA">
            <w:pPr>
              <w:rPr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296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 xml:space="preserve">Новий Державний стандарт базової середньої освіти: концептуальні положення  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296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2.2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Сучасний компетентнісно орієнтований  урок літератур</w:t>
            </w:r>
            <w:r>
              <w:rPr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182"/>
        </w:trPr>
        <w:tc>
          <w:tcPr>
            <w:tcW w:w="3356" w:type="pct"/>
            <w:gridSpan w:val="2"/>
            <w:shd w:val="clear" w:color="auto" w:fill="F2F2F2"/>
          </w:tcPr>
          <w:p w:rsidR="0025548E" w:rsidRPr="00461B45" w:rsidRDefault="0025548E" w:rsidP="00DE4B27">
            <w:pPr>
              <w:tabs>
                <w:tab w:val="left" w:pos="567"/>
              </w:tabs>
              <w:ind w:left="142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Варіативна частина</w:t>
            </w:r>
          </w:p>
        </w:tc>
        <w:tc>
          <w:tcPr>
            <w:tcW w:w="554" w:type="pct"/>
            <w:shd w:val="clear" w:color="auto" w:fill="F2F2F2"/>
          </w:tcPr>
          <w:p w:rsidR="0025548E" w:rsidRPr="00461B45" w:rsidRDefault="0025548E" w:rsidP="00DE4B27">
            <w:pPr>
              <w:tabs>
                <w:tab w:val="left" w:pos="567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F2F2F2"/>
          </w:tcPr>
          <w:p w:rsidR="0025548E" w:rsidRPr="00461B45" w:rsidRDefault="0025548E" w:rsidP="003E457A">
            <w:pPr>
              <w:jc w:val="center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Cs/>
                <w:i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152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2.3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 xml:space="preserve">Модель навчання «Перевернутий клас»: змінюємо освітній простір 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152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2.4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</w:rPr>
              <w:t>Формувальне оцінювання в системі оцінювання навчання учнів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4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152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2.5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Основи академічної доброчесності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152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2.6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Особливості мережевого етикету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</w:trPr>
        <w:tc>
          <w:tcPr>
            <w:tcW w:w="3356" w:type="pct"/>
            <w:gridSpan w:val="2"/>
            <w:shd w:val="clear" w:color="auto" w:fill="D9D9D9"/>
          </w:tcPr>
          <w:p w:rsidR="0025548E" w:rsidRPr="00461B45" w:rsidRDefault="0025548E" w:rsidP="007174FA">
            <w:pPr>
              <w:ind w:left="142"/>
              <w:rPr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МОДУЛЬ ІІІ</w:t>
            </w:r>
          </w:p>
        </w:tc>
        <w:tc>
          <w:tcPr>
            <w:tcW w:w="554" w:type="pct"/>
            <w:shd w:val="clear" w:color="auto" w:fill="D9D9D9"/>
          </w:tcPr>
          <w:p w:rsidR="0025548E" w:rsidRPr="00461B45" w:rsidRDefault="0025548E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50" w:type="pct"/>
            <w:shd w:val="clear" w:color="auto" w:fill="D9D9D9"/>
          </w:tcPr>
          <w:p w:rsidR="0025548E" w:rsidRPr="00461B45" w:rsidRDefault="0025548E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D9D9D9"/>
          </w:tcPr>
          <w:p w:rsidR="0025548E" w:rsidRPr="00461B45" w:rsidRDefault="0025548E" w:rsidP="00DE4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D9D9D9"/>
          </w:tcPr>
          <w:p w:rsidR="0025548E" w:rsidRPr="00461B45" w:rsidRDefault="0025548E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5" w:type="pct"/>
            <w:vMerge w:val="restart"/>
            <w:shd w:val="clear" w:color="auto" w:fill="D9D9D9"/>
          </w:tcPr>
          <w:p w:rsidR="0025548E" w:rsidRPr="00461B45" w:rsidRDefault="0025548E" w:rsidP="007174FA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38</w:t>
            </w:r>
          </w:p>
        </w:tc>
      </w:tr>
      <w:tr w:rsidR="0025548E" w:rsidRPr="00461B45" w:rsidTr="00461B45">
        <w:trPr>
          <w:cantSplit/>
          <w:trHeight w:val="20"/>
        </w:trPr>
        <w:tc>
          <w:tcPr>
            <w:tcW w:w="3356" w:type="pct"/>
            <w:gridSpan w:val="2"/>
            <w:shd w:val="clear" w:color="auto" w:fill="BFBFBF"/>
          </w:tcPr>
          <w:p w:rsidR="0025548E" w:rsidRPr="00461B45" w:rsidRDefault="0025548E" w:rsidP="00DE4B27">
            <w:pPr>
              <w:ind w:left="142"/>
              <w:rPr>
                <w:b/>
                <w:i/>
                <w:iCs/>
                <w:sz w:val="24"/>
                <w:szCs w:val="24"/>
              </w:rPr>
            </w:pPr>
            <w:r w:rsidRPr="00461B45">
              <w:rPr>
                <w:b/>
                <w:i/>
                <w:iCs/>
                <w:sz w:val="24"/>
                <w:szCs w:val="24"/>
              </w:rPr>
              <w:t>3.1. Предметно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461B45">
              <w:rPr>
                <w:b/>
                <w:i/>
                <w:iCs/>
                <w:sz w:val="24"/>
                <w:szCs w:val="24"/>
              </w:rPr>
              <w:t>орієнтована підготовка</w:t>
            </w:r>
          </w:p>
        </w:tc>
        <w:tc>
          <w:tcPr>
            <w:tcW w:w="554" w:type="pct"/>
            <w:shd w:val="clear" w:color="auto" w:fill="BFBFBF"/>
          </w:tcPr>
          <w:p w:rsidR="0025548E" w:rsidRPr="00461B45" w:rsidRDefault="0025548E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61B4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0" w:type="pct"/>
            <w:shd w:val="clear" w:color="auto" w:fill="BFBFBF"/>
          </w:tcPr>
          <w:p w:rsidR="0025548E" w:rsidRPr="00461B45" w:rsidRDefault="0025548E" w:rsidP="00DE4B27">
            <w:pPr>
              <w:jc w:val="center"/>
              <w:rPr>
                <w:b/>
                <w:sz w:val="24"/>
                <w:szCs w:val="24"/>
              </w:rPr>
            </w:pPr>
            <w:r w:rsidRPr="00461B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BFBFBF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BFBFBF"/>
          </w:tcPr>
          <w:p w:rsidR="0025548E" w:rsidRPr="00461B45" w:rsidRDefault="0025548E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61B4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20"/>
        </w:trPr>
        <w:tc>
          <w:tcPr>
            <w:tcW w:w="3356" w:type="pct"/>
            <w:gridSpan w:val="2"/>
            <w:shd w:val="clear" w:color="auto" w:fill="F2F2F2"/>
          </w:tcPr>
          <w:p w:rsidR="0025548E" w:rsidRPr="00461B45" w:rsidRDefault="0025548E" w:rsidP="00DE4B27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554" w:type="pct"/>
            <w:shd w:val="clear" w:color="auto" w:fill="F2F2F2"/>
          </w:tcPr>
          <w:p w:rsidR="0025548E" w:rsidRPr="00461B45" w:rsidRDefault="0025548E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50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F2F2F2"/>
          </w:tcPr>
          <w:p w:rsidR="0025548E" w:rsidRPr="00461B45" w:rsidRDefault="0025548E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20"/>
        </w:trPr>
        <w:tc>
          <w:tcPr>
            <w:tcW w:w="454" w:type="pct"/>
          </w:tcPr>
          <w:p w:rsidR="0025548E" w:rsidRPr="00461B45" w:rsidRDefault="0025548E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3.1.1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Навчально-методичне забезпечення вивчення предметів мовно-літературної галузі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4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bCs/>
                <w:sz w:val="24"/>
                <w:szCs w:val="24"/>
              </w:rPr>
            </w:pPr>
            <w:r w:rsidRPr="00461B45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20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3.1.2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Нова українська школа: компетентнісний і діяльнісний підходи в реалізації модельної програми з української мови</w:t>
            </w:r>
            <w:r>
              <w:rPr>
                <w:sz w:val="24"/>
                <w:szCs w:val="24"/>
                <w:lang w:eastAsia="en-US"/>
              </w:rPr>
              <w:t xml:space="preserve"> і літератури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20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31.3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Зарубіжна література: особливості вивчення в контексті реалізації модельної програми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20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3.1.4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Планування уроку іноземної мови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20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3.1.5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 xml:space="preserve">Організація вивчення предметів мовно-літературної галузі </w:t>
            </w:r>
            <w:r w:rsidRPr="00461B45">
              <w:rPr>
                <w:b/>
                <w:sz w:val="24"/>
                <w:szCs w:val="24"/>
                <w:lang w:eastAsia="en-US"/>
              </w:rPr>
              <w:t>(майстер-клас)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4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20"/>
        </w:trPr>
        <w:tc>
          <w:tcPr>
            <w:tcW w:w="3356" w:type="pct"/>
            <w:gridSpan w:val="2"/>
            <w:shd w:val="clear" w:color="auto" w:fill="F2F2F2"/>
          </w:tcPr>
          <w:p w:rsidR="0025548E" w:rsidRPr="00461B45" w:rsidRDefault="0025548E" w:rsidP="00DE4B27">
            <w:pPr>
              <w:tabs>
                <w:tab w:val="left" w:pos="1870"/>
              </w:tabs>
              <w:ind w:left="142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Варіативна частина</w:t>
            </w:r>
          </w:p>
        </w:tc>
        <w:tc>
          <w:tcPr>
            <w:tcW w:w="554" w:type="pct"/>
            <w:shd w:val="clear" w:color="auto" w:fill="F2F2F2"/>
          </w:tcPr>
          <w:p w:rsidR="0025548E" w:rsidRPr="00461B45" w:rsidRDefault="0025548E" w:rsidP="00DE4B27">
            <w:pPr>
              <w:tabs>
                <w:tab w:val="left" w:pos="187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50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F2F2F2"/>
          </w:tcPr>
          <w:p w:rsidR="0025548E" w:rsidRPr="00461B45" w:rsidRDefault="0025548E" w:rsidP="00DE4B27">
            <w:pPr>
              <w:tabs>
                <w:tab w:val="left" w:pos="187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tabs>
                <w:tab w:val="left" w:pos="1870"/>
              </w:tabs>
              <w:rPr>
                <w:i/>
                <w:i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20"/>
        </w:trPr>
        <w:tc>
          <w:tcPr>
            <w:tcW w:w="454" w:type="pct"/>
          </w:tcPr>
          <w:p w:rsidR="0025548E" w:rsidRPr="00461B45" w:rsidRDefault="0025548E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3.1.6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BE7A6E">
              <w:rPr>
                <w:sz w:val="24"/>
                <w:szCs w:val="24"/>
              </w:rPr>
              <w:t>Цифрові технології</w:t>
            </w:r>
            <w:r>
              <w:rPr>
                <w:sz w:val="24"/>
                <w:szCs w:val="24"/>
              </w:rPr>
              <w:t xml:space="preserve"> </w:t>
            </w:r>
            <w:r w:rsidRPr="00BE7A6E">
              <w:rPr>
                <w:sz w:val="24"/>
                <w:szCs w:val="24"/>
              </w:rPr>
              <w:t>в освітньому процесі Нової української школи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473"/>
        </w:trPr>
        <w:tc>
          <w:tcPr>
            <w:tcW w:w="454" w:type="pct"/>
          </w:tcPr>
          <w:p w:rsidR="0025548E" w:rsidRPr="00461B45" w:rsidRDefault="0025548E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3.1.7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 xml:space="preserve">Методичний кейс вчителя-філолога 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473"/>
        </w:trPr>
        <w:tc>
          <w:tcPr>
            <w:tcW w:w="454" w:type="pct"/>
          </w:tcPr>
          <w:p w:rsidR="0025548E" w:rsidRPr="00461B45" w:rsidRDefault="0025548E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3.1.8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Формування медіа та інформаційної грамотності учителя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461B45">
              <w:rPr>
                <w:sz w:val="24"/>
                <w:szCs w:val="24"/>
                <w:lang w:eastAsia="en-US"/>
              </w:rPr>
              <w:t>словесника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20"/>
        </w:trPr>
        <w:tc>
          <w:tcPr>
            <w:tcW w:w="3356" w:type="pct"/>
            <w:gridSpan w:val="2"/>
            <w:shd w:val="clear" w:color="auto" w:fill="BFBFBF"/>
          </w:tcPr>
          <w:p w:rsidR="0025548E" w:rsidRPr="00461B45" w:rsidRDefault="0025548E" w:rsidP="007174FA">
            <w:pPr>
              <w:tabs>
                <w:tab w:val="left" w:pos="1870"/>
              </w:tabs>
              <w:ind w:left="142"/>
              <w:rPr>
                <w:b/>
                <w:sz w:val="24"/>
                <w:szCs w:val="24"/>
              </w:rPr>
            </w:pPr>
            <w:r w:rsidRPr="00461B45">
              <w:rPr>
                <w:b/>
                <w:i/>
                <w:iCs/>
                <w:sz w:val="24"/>
                <w:szCs w:val="24"/>
              </w:rPr>
              <w:t>3.2. Спеціальна підготовка</w:t>
            </w:r>
          </w:p>
        </w:tc>
        <w:tc>
          <w:tcPr>
            <w:tcW w:w="554" w:type="pct"/>
            <w:shd w:val="clear" w:color="auto" w:fill="BFBFBF"/>
          </w:tcPr>
          <w:p w:rsidR="0025548E" w:rsidRPr="00461B45" w:rsidRDefault="0025548E" w:rsidP="00DE4B27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461B45">
              <w:rPr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250" w:type="pct"/>
            <w:shd w:val="clear" w:color="auto" w:fill="BFBFBF"/>
          </w:tcPr>
          <w:p w:rsidR="0025548E" w:rsidRPr="00461B45" w:rsidRDefault="0025548E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61B45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250" w:type="pct"/>
            <w:shd w:val="clear" w:color="auto" w:fill="BFBFBF"/>
          </w:tcPr>
          <w:p w:rsidR="0025548E" w:rsidRPr="00461B45" w:rsidRDefault="0025548E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61B45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BFBFBF"/>
          </w:tcPr>
          <w:p w:rsidR="0025548E" w:rsidRPr="00461B45" w:rsidRDefault="0025548E" w:rsidP="00DE4B2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61B4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7174F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20"/>
        </w:trPr>
        <w:tc>
          <w:tcPr>
            <w:tcW w:w="3356" w:type="pct"/>
            <w:gridSpan w:val="2"/>
            <w:shd w:val="clear" w:color="auto" w:fill="F2F2F2"/>
          </w:tcPr>
          <w:p w:rsidR="0025548E" w:rsidRPr="00461B45" w:rsidRDefault="0025548E" w:rsidP="007174FA">
            <w:pPr>
              <w:tabs>
                <w:tab w:val="left" w:pos="1870"/>
              </w:tabs>
              <w:ind w:left="142"/>
              <w:rPr>
                <w:bCs/>
                <w:i/>
                <w:iCs/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Інваріантна частина</w:t>
            </w:r>
          </w:p>
        </w:tc>
        <w:tc>
          <w:tcPr>
            <w:tcW w:w="554" w:type="pct"/>
            <w:shd w:val="clear" w:color="auto" w:fill="F2F2F2"/>
          </w:tcPr>
          <w:p w:rsidR="0025548E" w:rsidRPr="00461B45" w:rsidRDefault="0025548E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0" w:type="pct"/>
            <w:shd w:val="clear" w:color="auto" w:fill="F2F2F2"/>
          </w:tcPr>
          <w:p w:rsidR="0025548E" w:rsidRPr="00461B45" w:rsidRDefault="0025548E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2F2F2"/>
          </w:tcPr>
          <w:p w:rsidR="0025548E" w:rsidRPr="00461B45" w:rsidRDefault="0025548E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2F2F2"/>
          </w:tcPr>
          <w:p w:rsidR="0025548E" w:rsidRPr="00461B45" w:rsidRDefault="0025548E" w:rsidP="00DE4B27">
            <w:pPr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461B45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7174FA">
            <w:pPr>
              <w:rPr>
                <w:bCs/>
                <w:i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199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  <w:lang w:eastAsia="en-US"/>
              </w:rPr>
            </w:pPr>
            <w:r w:rsidRPr="00461B45">
              <w:rPr>
                <w:i/>
                <w:sz w:val="24"/>
                <w:szCs w:val="24"/>
              </w:rPr>
              <w:t>3.2.1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Розроблення авторських проєктів (індивідуальна робота, консультації)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199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3.2.2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 w:right="144"/>
              <w:jc w:val="both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  <w:lang w:eastAsia="en-US"/>
              </w:rPr>
              <w:t>Вивчення предметів мовно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461B45">
              <w:rPr>
                <w:sz w:val="24"/>
                <w:szCs w:val="24"/>
                <w:lang w:eastAsia="en-US"/>
              </w:rPr>
              <w:t xml:space="preserve">літературної галузі онлайн </w:t>
            </w:r>
            <w:r w:rsidRPr="00461B45">
              <w:rPr>
                <w:b/>
                <w:sz w:val="24"/>
                <w:szCs w:val="24"/>
                <w:lang w:eastAsia="en-US"/>
              </w:rPr>
              <w:t>(майстер-клас)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6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20"/>
        </w:trPr>
        <w:tc>
          <w:tcPr>
            <w:tcW w:w="3356" w:type="pct"/>
            <w:gridSpan w:val="2"/>
            <w:shd w:val="clear" w:color="auto" w:fill="F2F2F2"/>
          </w:tcPr>
          <w:p w:rsidR="0025548E" w:rsidRPr="00461B45" w:rsidRDefault="0025548E" w:rsidP="00DE4B27">
            <w:pPr>
              <w:shd w:val="clear" w:color="auto" w:fill="FFFFFF"/>
              <w:ind w:left="142"/>
              <w:rPr>
                <w:sz w:val="24"/>
                <w:szCs w:val="24"/>
              </w:rPr>
            </w:pPr>
            <w:r w:rsidRPr="00461B45">
              <w:rPr>
                <w:bCs/>
                <w:i/>
                <w:iCs/>
                <w:sz w:val="24"/>
                <w:szCs w:val="24"/>
              </w:rPr>
              <w:t>Варіативна частина</w:t>
            </w:r>
          </w:p>
        </w:tc>
        <w:tc>
          <w:tcPr>
            <w:tcW w:w="554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F2F2F2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46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  <w:lang w:eastAsia="en-US"/>
              </w:rPr>
            </w:pPr>
            <w:r w:rsidRPr="00461B45">
              <w:rPr>
                <w:i/>
                <w:sz w:val="24"/>
                <w:szCs w:val="24"/>
              </w:rPr>
              <w:t>3.2.3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tabs>
                <w:tab w:val="left" w:pos="1870"/>
              </w:tabs>
              <w:ind w:left="108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Формувальне оцінювання навчання учнів у вивченні іноземних мов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46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  <w:lang w:eastAsia="en-US"/>
              </w:rPr>
            </w:pPr>
            <w:r w:rsidRPr="00461B45">
              <w:rPr>
                <w:i/>
                <w:sz w:val="24"/>
                <w:szCs w:val="24"/>
              </w:rPr>
              <w:t>3.2.4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tabs>
                <w:tab w:val="left" w:pos="1870"/>
              </w:tabs>
              <w:ind w:left="108"/>
              <w:rPr>
                <w:sz w:val="24"/>
                <w:szCs w:val="24"/>
                <w:lang w:eastAsia="en-US"/>
              </w:rPr>
            </w:pPr>
            <w:r w:rsidRPr="00461B45">
              <w:rPr>
                <w:sz w:val="24"/>
                <w:szCs w:val="24"/>
              </w:rPr>
              <w:t>Використання ресурсів мережі Інтернет на заняттях іноземної мови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cantSplit/>
          <w:trHeight w:val="20"/>
        </w:trPr>
        <w:tc>
          <w:tcPr>
            <w:tcW w:w="3356" w:type="pct"/>
            <w:gridSpan w:val="2"/>
            <w:shd w:val="clear" w:color="auto" w:fill="E6E6E6"/>
          </w:tcPr>
          <w:p w:rsidR="0025548E" w:rsidRPr="00461B45" w:rsidRDefault="0025548E" w:rsidP="007174FA">
            <w:pPr>
              <w:ind w:left="142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МОДУЛЬ ІV</w:t>
            </w:r>
          </w:p>
        </w:tc>
        <w:tc>
          <w:tcPr>
            <w:tcW w:w="554" w:type="pct"/>
            <w:shd w:val="clear" w:color="auto" w:fill="E6E6E6"/>
          </w:tcPr>
          <w:p w:rsidR="0025548E" w:rsidRPr="00461B45" w:rsidRDefault="0025548E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0" w:type="pct"/>
            <w:shd w:val="clear" w:color="auto" w:fill="E6E6E6"/>
          </w:tcPr>
          <w:p w:rsidR="0025548E" w:rsidRPr="00461B45" w:rsidRDefault="0025548E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E6E6E6"/>
          </w:tcPr>
          <w:p w:rsidR="0025548E" w:rsidRPr="00461B45" w:rsidRDefault="0025548E" w:rsidP="00DE4B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E6E6E6"/>
          </w:tcPr>
          <w:p w:rsidR="0025548E" w:rsidRPr="00461B45" w:rsidRDefault="0025548E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5" w:type="pct"/>
            <w:vMerge w:val="restart"/>
            <w:shd w:val="clear" w:color="auto" w:fill="D9D9D9"/>
          </w:tcPr>
          <w:p w:rsidR="0025548E" w:rsidRPr="00461B45" w:rsidRDefault="0025548E" w:rsidP="007174FA">
            <w:pPr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5548E" w:rsidRPr="00461B45" w:rsidTr="00461B45">
        <w:trPr>
          <w:cantSplit/>
          <w:trHeight w:val="20"/>
        </w:trPr>
        <w:tc>
          <w:tcPr>
            <w:tcW w:w="3356" w:type="pct"/>
            <w:gridSpan w:val="2"/>
            <w:shd w:val="clear" w:color="auto" w:fill="E6E6E6"/>
          </w:tcPr>
          <w:p w:rsidR="0025548E" w:rsidRPr="00461B45" w:rsidRDefault="0025548E" w:rsidP="00DE4B27">
            <w:pPr>
              <w:ind w:left="142"/>
              <w:rPr>
                <w:bCs/>
                <w:i/>
                <w:sz w:val="24"/>
                <w:szCs w:val="24"/>
              </w:rPr>
            </w:pPr>
            <w:r w:rsidRPr="00461B45">
              <w:rPr>
                <w:bCs/>
                <w:i/>
                <w:sz w:val="24"/>
                <w:szCs w:val="24"/>
              </w:rPr>
              <w:t>Інваріантна частина</w:t>
            </w:r>
          </w:p>
        </w:tc>
        <w:tc>
          <w:tcPr>
            <w:tcW w:w="554" w:type="pct"/>
            <w:shd w:val="clear" w:color="auto" w:fill="E6E6E6"/>
          </w:tcPr>
          <w:p w:rsidR="0025548E" w:rsidRPr="00461B45" w:rsidRDefault="0025548E" w:rsidP="00DE4B27">
            <w:pPr>
              <w:jc w:val="center"/>
              <w:rPr>
                <w:bCs/>
                <w:i/>
                <w:sz w:val="24"/>
                <w:szCs w:val="24"/>
              </w:rPr>
            </w:pPr>
            <w:r w:rsidRPr="00461B45">
              <w:rPr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50" w:type="pct"/>
            <w:shd w:val="clear" w:color="auto" w:fill="E6E6E6"/>
          </w:tcPr>
          <w:p w:rsidR="0025548E" w:rsidRPr="00461B45" w:rsidRDefault="0025548E" w:rsidP="00DE4B27">
            <w:pPr>
              <w:jc w:val="center"/>
              <w:rPr>
                <w:bCs/>
                <w:i/>
                <w:sz w:val="24"/>
                <w:szCs w:val="24"/>
              </w:rPr>
            </w:pPr>
            <w:r w:rsidRPr="00461B45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E6E6E6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E6E6E6"/>
          </w:tcPr>
          <w:p w:rsidR="0025548E" w:rsidRPr="00461B45" w:rsidRDefault="0025548E" w:rsidP="00DE4B27">
            <w:pPr>
              <w:jc w:val="center"/>
              <w:rPr>
                <w:bCs/>
                <w:i/>
                <w:sz w:val="24"/>
                <w:szCs w:val="24"/>
              </w:rPr>
            </w:pPr>
            <w:r w:rsidRPr="00461B45">
              <w:rPr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Cs/>
                <w:i/>
                <w:sz w:val="24"/>
                <w:szCs w:val="24"/>
              </w:rPr>
            </w:pPr>
          </w:p>
        </w:tc>
      </w:tr>
      <w:tr w:rsidR="0025548E" w:rsidRPr="00461B45" w:rsidTr="00461B45">
        <w:trPr>
          <w:trHeight w:val="46"/>
        </w:trPr>
        <w:tc>
          <w:tcPr>
            <w:tcW w:w="454" w:type="pct"/>
            <w:vAlign w:val="center"/>
          </w:tcPr>
          <w:p w:rsidR="0025548E" w:rsidRPr="00461B45" w:rsidRDefault="0025548E" w:rsidP="00DE4B27">
            <w:pPr>
              <w:ind w:left="142" w:right="113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4.1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/>
              <w:jc w:val="both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Установче заняття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trHeight w:val="46"/>
        </w:trPr>
        <w:tc>
          <w:tcPr>
            <w:tcW w:w="454" w:type="pct"/>
            <w:vAlign w:val="center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4.2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/>
              <w:jc w:val="both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Вхідне діагностування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trHeight w:val="46"/>
        </w:trPr>
        <w:tc>
          <w:tcPr>
            <w:tcW w:w="454" w:type="pct"/>
            <w:vAlign w:val="center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4.3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/>
              <w:jc w:val="both"/>
              <w:rPr>
                <w:sz w:val="24"/>
                <w:szCs w:val="24"/>
              </w:rPr>
            </w:pPr>
            <w:r w:rsidRPr="00403F6F">
              <w:rPr>
                <w:i/>
                <w:sz w:val="24"/>
                <w:szCs w:val="24"/>
              </w:rPr>
              <w:t>Тематична дискусія</w:t>
            </w:r>
            <w:r>
              <w:rPr>
                <w:sz w:val="24"/>
                <w:szCs w:val="24"/>
              </w:rPr>
              <w:t xml:space="preserve"> </w:t>
            </w:r>
            <w:r w:rsidRPr="00BE7A6E">
              <w:rPr>
                <w:sz w:val="24"/>
                <w:szCs w:val="24"/>
              </w:rPr>
              <w:t>«Мовно-літературна освіта: спрямування на розвиток ключових і предметних компетентностей учнів»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trHeight w:val="46"/>
        </w:trPr>
        <w:tc>
          <w:tcPr>
            <w:tcW w:w="454" w:type="pct"/>
          </w:tcPr>
          <w:p w:rsidR="0025548E" w:rsidRPr="00461B45" w:rsidRDefault="0025548E" w:rsidP="00DE4B27">
            <w:pPr>
              <w:ind w:left="142"/>
              <w:rPr>
                <w:i/>
                <w:sz w:val="24"/>
                <w:szCs w:val="24"/>
              </w:rPr>
            </w:pPr>
            <w:r w:rsidRPr="00461B45">
              <w:rPr>
                <w:i/>
                <w:sz w:val="24"/>
                <w:szCs w:val="24"/>
              </w:rPr>
              <w:t>4.6</w:t>
            </w:r>
          </w:p>
        </w:tc>
        <w:tc>
          <w:tcPr>
            <w:tcW w:w="2902" w:type="pct"/>
          </w:tcPr>
          <w:p w:rsidR="0025548E" w:rsidRPr="00461B45" w:rsidRDefault="0025548E" w:rsidP="00DE4B27">
            <w:pPr>
              <w:ind w:left="108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Вихідне діагностування</w:t>
            </w:r>
          </w:p>
        </w:tc>
        <w:tc>
          <w:tcPr>
            <w:tcW w:w="554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0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–</w:t>
            </w:r>
          </w:p>
        </w:tc>
        <w:tc>
          <w:tcPr>
            <w:tcW w:w="256" w:type="pct"/>
          </w:tcPr>
          <w:p w:rsidR="0025548E" w:rsidRPr="00461B45" w:rsidRDefault="0025548E" w:rsidP="00DE4B27">
            <w:pPr>
              <w:jc w:val="center"/>
              <w:rPr>
                <w:sz w:val="24"/>
                <w:szCs w:val="24"/>
              </w:rPr>
            </w:pPr>
            <w:r w:rsidRPr="00461B45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vMerge/>
            <w:vAlign w:val="center"/>
          </w:tcPr>
          <w:p w:rsidR="0025548E" w:rsidRPr="00461B45" w:rsidRDefault="0025548E" w:rsidP="00DE4B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548E" w:rsidRPr="00461B45" w:rsidTr="00461B45">
        <w:trPr>
          <w:trHeight w:val="20"/>
        </w:trPr>
        <w:tc>
          <w:tcPr>
            <w:tcW w:w="3356" w:type="pct"/>
            <w:gridSpan w:val="2"/>
            <w:shd w:val="clear" w:color="auto" w:fill="D9D9D9"/>
          </w:tcPr>
          <w:p w:rsidR="0025548E" w:rsidRPr="00461B45" w:rsidRDefault="0025548E" w:rsidP="007174FA">
            <w:pPr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554" w:type="pct"/>
            <w:shd w:val="clear" w:color="auto" w:fill="D9D9D9"/>
          </w:tcPr>
          <w:p w:rsidR="0025548E" w:rsidRPr="00461B45" w:rsidRDefault="0025548E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50" w:type="pct"/>
            <w:shd w:val="clear" w:color="auto" w:fill="D9D9D9"/>
          </w:tcPr>
          <w:p w:rsidR="0025548E" w:rsidRPr="00461B45" w:rsidRDefault="0025548E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0" w:type="pct"/>
            <w:shd w:val="clear" w:color="auto" w:fill="D9D9D9"/>
          </w:tcPr>
          <w:p w:rsidR="0025548E" w:rsidRPr="00461B45" w:rsidRDefault="0025548E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256" w:type="pct"/>
            <w:shd w:val="clear" w:color="auto" w:fill="D9D9D9"/>
          </w:tcPr>
          <w:p w:rsidR="0025548E" w:rsidRPr="00461B45" w:rsidRDefault="0025548E" w:rsidP="00DE4B2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35" w:type="pct"/>
            <w:shd w:val="clear" w:color="auto" w:fill="D9D9D9"/>
          </w:tcPr>
          <w:p w:rsidR="0025548E" w:rsidRPr="00461B45" w:rsidRDefault="0025548E" w:rsidP="007174FA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61B45">
              <w:rPr>
                <w:b/>
                <w:bCs/>
                <w:sz w:val="24"/>
                <w:szCs w:val="24"/>
              </w:rPr>
              <w:t>70</w:t>
            </w:r>
          </w:p>
        </w:tc>
      </w:tr>
    </w:tbl>
    <w:p w:rsidR="0025548E" w:rsidRPr="005A5DEE" w:rsidRDefault="0025548E">
      <w:pPr>
        <w:jc w:val="center"/>
        <w:rPr>
          <w:b/>
          <w:sz w:val="26"/>
          <w:szCs w:val="26"/>
        </w:rPr>
      </w:pPr>
    </w:p>
    <w:p w:rsidR="0025548E" w:rsidRPr="005A5DEE" w:rsidRDefault="0025548E">
      <w:pPr>
        <w:jc w:val="center"/>
        <w:rPr>
          <w:b/>
          <w:sz w:val="28"/>
          <w:szCs w:val="28"/>
        </w:r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25548E" w:rsidRPr="005A5DEE" w:rsidTr="00E87C1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25548E" w:rsidRPr="00E87C1E" w:rsidRDefault="0025548E" w:rsidP="00E87C1E">
            <w:pPr>
              <w:autoSpaceDE w:val="0"/>
              <w:autoSpaceDN w:val="0"/>
              <w:spacing w:line="267" w:lineRule="exact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25548E" w:rsidRPr="00E87C1E" w:rsidRDefault="0025548E" w:rsidP="00E87C1E">
            <w:pPr>
              <w:autoSpaceDE w:val="0"/>
              <w:autoSpaceDN w:val="0"/>
              <w:spacing w:line="265" w:lineRule="exact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25548E" w:rsidRPr="00E87C1E" w:rsidRDefault="0025548E" w:rsidP="00076D5B">
            <w:pPr>
              <w:autoSpaceDE w:val="0"/>
              <w:autoSpaceDN w:val="0"/>
              <w:spacing w:line="262" w:lineRule="exact"/>
              <w:ind w:left="144" w:right="669"/>
              <w:rPr>
                <w:sz w:val="24"/>
                <w:szCs w:val="24"/>
              </w:rPr>
            </w:pPr>
            <w:r w:rsidRPr="00E87C1E">
              <w:rPr>
                <w:sz w:val="24"/>
                <w:szCs w:val="24"/>
              </w:rPr>
              <w:t>Інституційна  (очно</w:t>
            </w:r>
            <w:r>
              <w:rPr>
                <w:sz w:val="24"/>
                <w:szCs w:val="24"/>
              </w:rPr>
              <w:t>-</w:t>
            </w:r>
            <w:r w:rsidRPr="00E87C1E">
              <w:rPr>
                <w:sz w:val="24"/>
                <w:szCs w:val="24"/>
              </w:rPr>
              <w:t>заочна)</w:t>
            </w:r>
          </w:p>
        </w:tc>
      </w:tr>
      <w:tr w:rsidR="0025548E" w:rsidRPr="005A5DEE" w:rsidTr="00E87C1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25548E" w:rsidRPr="00E87C1E" w:rsidRDefault="0025548E" w:rsidP="00E87C1E">
            <w:pPr>
              <w:autoSpaceDE w:val="0"/>
              <w:autoSpaceDN w:val="0"/>
              <w:spacing w:line="267" w:lineRule="exact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25548E" w:rsidRPr="00E87C1E" w:rsidRDefault="0025548E" w:rsidP="00076D5B">
            <w:pPr>
              <w:autoSpaceDE w:val="0"/>
              <w:autoSpaceDN w:val="0"/>
              <w:ind w:left="144" w:right="669"/>
              <w:jc w:val="both"/>
              <w:rPr>
                <w:sz w:val="24"/>
                <w:szCs w:val="24"/>
              </w:rPr>
            </w:pPr>
            <w:r w:rsidRPr="00E87C1E">
              <w:rPr>
                <w:sz w:val="24"/>
                <w:szCs w:val="24"/>
              </w:rPr>
              <w:t xml:space="preserve">4 кредити ЄКТС / 120 год </w:t>
            </w:r>
            <w:r w:rsidRPr="00076D5B">
              <w:rPr>
                <w:sz w:val="24"/>
                <w:szCs w:val="24"/>
              </w:rPr>
              <w:t>(50 год – аудиторні, 70 год – керована самостійна робота)</w:t>
            </w:r>
          </w:p>
        </w:tc>
      </w:tr>
      <w:tr w:rsidR="0025548E" w:rsidRPr="005A5DEE" w:rsidTr="00E87C1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25548E" w:rsidRPr="00E87C1E" w:rsidRDefault="0025548E" w:rsidP="00E87C1E">
            <w:pPr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25548E" w:rsidRPr="00E87C1E" w:rsidRDefault="0025548E" w:rsidP="00E87C1E">
            <w:pPr>
              <w:autoSpaceDE w:val="0"/>
              <w:autoSpaceDN w:val="0"/>
              <w:rPr>
                <w:b/>
                <w:i/>
                <w:sz w:val="24"/>
                <w:szCs w:val="24"/>
              </w:rPr>
            </w:pPr>
          </w:p>
          <w:p w:rsidR="0025548E" w:rsidRPr="00E87C1E" w:rsidRDefault="0025548E" w:rsidP="00E87C1E">
            <w:pPr>
              <w:pStyle w:val="TableParagraph"/>
              <w:autoSpaceDE w:val="0"/>
              <w:autoSpaceDN w:val="0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25548E" w:rsidRPr="00E87C1E" w:rsidRDefault="0025548E" w:rsidP="00076D5B">
            <w:pPr>
              <w:pStyle w:val="Default"/>
              <w:widowControl w:val="0"/>
              <w:autoSpaceDE w:val="0"/>
              <w:autoSpaceDN w:val="0"/>
              <w:ind w:left="144" w:right="669" w:firstLine="180"/>
              <w:rPr>
                <w:bCs/>
                <w:i/>
                <w:lang w:val="uk-UA" w:eastAsia="en-US"/>
              </w:rPr>
            </w:pPr>
            <w:r w:rsidRPr="00E87C1E">
              <w:rPr>
                <w:bCs/>
                <w:i/>
                <w:lang w:val="uk-UA" w:eastAsia="en-US"/>
              </w:rPr>
              <w:t>Загальні компетентності:</w:t>
            </w:r>
          </w:p>
          <w:p w:rsidR="0025548E" w:rsidRPr="00E87C1E" w:rsidRDefault="0025548E" w:rsidP="00076D5B">
            <w:pPr>
              <w:pStyle w:val="Default"/>
              <w:widowControl w:val="0"/>
              <w:autoSpaceDE w:val="0"/>
              <w:autoSpaceDN w:val="0"/>
              <w:ind w:left="144" w:right="669" w:firstLine="180"/>
              <w:jc w:val="both"/>
              <w:rPr>
                <w:spacing w:val="-6"/>
                <w:lang w:val="uk-UA" w:eastAsia="en-US"/>
              </w:rPr>
            </w:pPr>
            <w:r w:rsidRPr="00E87C1E">
              <w:rPr>
                <w:spacing w:val="-6"/>
                <w:lang w:val="uk-UA" w:eastAsia="en-US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:rsidR="0025548E" w:rsidRPr="00E87C1E" w:rsidRDefault="0025548E" w:rsidP="00076D5B">
            <w:pPr>
              <w:autoSpaceDE w:val="0"/>
              <w:autoSpaceDN w:val="0"/>
              <w:ind w:left="144" w:right="669" w:firstLine="180"/>
              <w:jc w:val="both"/>
              <w:rPr>
                <w:i/>
                <w:sz w:val="24"/>
                <w:szCs w:val="24"/>
              </w:rPr>
            </w:pPr>
          </w:p>
          <w:p w:rsidR="0025548E" w:rsidRPr="00E87C1E" w:rsidRDefault="0025548E" w:rsidP="00076D5B">
            <w:pPr>
              <w:autoSpaceDE w:val="0"/>
              <w:autoSpaceDN w:val="0"/>
              <w:ind w:left="144" w:right="669" w:firstLine="180"/>
              <w:jc w:val="both"/>
              <w:rPr>
                <w:i/>
                <w:sz w:val="24"/>
                <w:szCs w:val="24"/>
              </w:rPr>
            </w:pPr>
            <w:r w:rsidRPr="00E87C1E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25548E" w:rsidRPr="00E87C1E" w:rsidRDefault="0025548E" w:rsidP="00076D5B">
            <w:pPr>
              <w:pStyle w:val="ListParagraph"/>
              <w:autoSpaceDE w:val="0"/>
              <w:autoSpaceDN w:val="0"/>
              <w:ind w:left="144" w:right="66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25548E" w:rsidRPr="00E87C1E" w:rsidRDefault="0025548E" w:rsidP="00076D5B">
            <w:pPr>
              <w:pStyle w:val="ListParagraph"/>
              <w:autoSpaceDE w:val="0"/>
              <w:autoSpaceDN w:val="0"/>
              <w:ind w:left="144" w:right="66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25548E" w:rsidRPr="00E87C1E" w:rsidRDefault="0025548E" w:rsidP="00076D5B">
            <w:pPr>
              <w:pStyle w:val="ListParagraph"/>
              <w:autoSpaceDE w:val="0"/>
              <w:autoSpaceDN w:val="0"/>
              <w:ind w:left="144" w:right="66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формувати і розвивати мовно</w:t>
            </w:r>
            <w:r>
              <w:rPr>
                <w:sz w:val="24"/>
                <w:szCs w:val="24"/>
                <w:lang w:val="uk-UA"/>
              </w:rPr>
              <w:t>-</w:t>
            </w:r>
            <w:r w:rsidRPr="00E87C1E">
              <w:rPr>
                <w:sz w:val="24"/>
                <w:szCs w:val="24"/>
                <w:lang w:val="uk-UA"/>
              </w:rPr>
              <w:t>комунікативні уміння й навички учнів.</w:t>
            </w:r>
          </w:p>
          <w:p w:rsidR="0025548E" w:rsidRPr="00E87C1E" w:rsidRDefault="0025548E" w:rsidP="00076D5B">
            <w:pPr>
              <w:pStyle w:val="ListParagraph"/>
              <w:autoSpaceDE w:val="0"/>
              <w:autoSpaceDN w:val="0"/>
              <w:ind w:left="144" w:right="66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здійснювати оцінювання та моніторинг результатів навчання учнів на засадах компетентнісного підходу.</w:t>
            </w:r>
          </w:p>
          <w:p w:rsidR="0025548E" w:rsidRPr="00E87C1E" w:rsidRDefault="0025548E" w:rsidP="00076D5B">
            <w:pPr>
              <w:pStyle w:val="ListParagraph"/>
              <w:autoSpaceDE w:val="0"/>
              <w:autoSpaceDN w:val="0"/>
              <w:ind w:left="144" w:right="669" w:firstLine="180"/>
              <w:jc w:val="both"/>
              <w:rPr>
                <w:sz w:val="24"/>
                <w:szCs w:val="24"/>
                <w:lang w:val="uk-UA"/>
              </w:rPr>
            </w:pPr>
            <w:r w:rsidRPr="00E87C1E">
              <w:rPr>
                <w:sz w:val="24"/>
                <w:szCs w:val="24"/>
                <w:lang w:val="uk-UA"/>
              </w:rPr>
              <w:t>Здатність формувати ціннісні ставлення учнів.</w:t>
            </w:r>
          </w:p>
        </w:tc>
      </w:tr>
    </w:tbl>
    <w:p w:rsidR="0025548E" w:rsidRPr="005A5DEE" w:rsidRDefault="0025548E">
      <w:pPr>
        <w:jc w:val="center"/>
        <w:rPr>
          <w:b/>
          <w:sz w:val="28"/>
          <w:szCs w:val="28"/>
        </w:rPr>
      </w:pPr>
    </w:p>
    <w:sectPr w:rsidR="0025548E" w:rsidRPr="005A5DEE" w:rsidSect="004624CD">
      <w:pgSz w:w="11910" w:h="16840"/>
      <w:pgMar w:top="1120" w:right="160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4BC0"/>
    <w:multiLevelType w:val="hybridMultilevel"/>
    <w:tmpl w:val="5088E75C"/>
    <w:lvl w:ilvl="0" w:tplc="6728C5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782875"/>
    <w:multiLevelType w:val="hybridMultilevel"/>
    <w:tmpl w:val="E3B64F7A"/>
    <w:lvl w:ilvl="0" w:tplc="2FA2BEE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5E7043F3"/>
    <w:multiLevelType w:val="multilevel"/>
    <w:tmpl w:val="08727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BD22B53"/>
    <w:multiLevelType w:val="multilevel"/>
    <w:tmpl w:val="8110B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>
    <w:nsid w:val="728B128D"/>
    <w:multiLevelType w:val="multilevel"/>
    <w:tmpl w:val="99F61F7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7EA5633E"/>
    <w:multiLevelType w:val="multilevel"/>
    <w:tmpl w:val="0FE8BC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6CD"/>
    <w:rsid w:val="000009C8"/>
    <w:rsid w:val="00011D21"/>
    <w:rsid w:val="000641E4"/>
    <w:rsid w:val="00076D5B"/>
    <w:rsid w:val="00134C13"/>
    <w:rsid w:val="0015583E"/>
    <w:rsid w:val="00155EBE"/>
    <w:rsid w:val="001967A9"/>
    <w:rsid w:val="001A23B2"/>
    <w:rsid w:val="001C5367"/>
    <w:rsid w:val="0025548E"/>
    <w:rsid w:val="00257441"/>
    <w:rsid w:val="002628B1"/>
    <w:rsid w:val="002947C1"/>
    <w:rsid w:val="002B5144"/>
    <w:rsid w:val="002C6FE4"/>
    <w:rsid w:val="002F527C"/>
    <w:rsid w:val="00326492"/>
    <w:rsid w:val="00327A69"/>
    <w:rsid w:val="00332B9A"/>
    <w:rsid w:val="003B736B"/>
    <w:rsid w:val="003E457A"/>
    <w:rsid w:val="003F2FF9"/>
    <w:rsid w:val="00403F6F"/>
    <w:rsid w:val="00412576"/>
    <w:rsid w:val="0041531C"/>
    <w:rsid w:val="00426C3C"/>
    <w:rsid w:val="00461B45"/>
    <w:rsid w:val="004624CD"/>
    <w:rsid w:val="004634D4"/>
    <w:rsid w:val="004840D3"/>
    <w:rsid w:val="004C1518"/>
    <w:rsid w:val="004E1F85"/>
    <w:rsid w:val="004F3D89"/>
    <w:rsid w:val="0052488D"/>
    <w:rsid w:val="00551C7F"/>
    <w:rsid w:val="00594FB1"/>
    <w:rsid w:val="005A5DEE"/>
    <w:rsid w:val="005E493D"/>
    <w:rsid w:val="0061121D"/>
    <w:rsid w:val="006A26DC"/>
    <w:rsid w:val="006C3206"/>
    <w:rsid w:val="006D1ACB"/>
    <w:rsid w:val="006F609C"/>
    <w:rsid w:val="007174FA"/>
    <w:rsid w:val="00740B3C"/>
    <w:rsid w:val="00743816"/>
    <w:rsid w:val="007463BA"/>
    <w:rsid w:val="007D1E06"/>
    <w:rsid w:val="00802820"/>
    <w:rsid w:val="00812985"/>
    <w:rsid w:val="00822BD1"/>
    <w:rsid w:val="008441B9"/>
    <w:rsid w:val="008A062A"/>
    <w:rsid w:val="008A2909"/>
    <w:rsid w:val="008B4690"/>
    <w:rsid w:val="008F26CD"/>
    <w:rsid w:val="00947F68"/>
    <w:rsid w:val="00965667"/>
    <w:rsid w:val="00984C1B"/>
    <w:rsid w:val="009F0D31"/>
    <w:rsid w:val="00A321F7"/>
    <w:rsid w:val="00A8397F"/>
    <w:rsid w:val="00B32A96"/>
    <w:rsid w:val="00B5205B"/>
    <w:rsid w:val="00B71884"/>
    <w:rsid w:val="00B723E9"/>
    <w:rsid w:val="00BC19A6"/>
    <w:rsid w:val="00BE7A6E"/>
    <w:rsid w:val="00C03862"/>
    <w:rsid w:val="00C71C51"/>
    <w:rsid w:val="00C77165"/>
    <w:rsid w:val="00C866F3"/>
    <w:rsid w:val="00CA2D2C"/>
    <w:rsid w:val="00CB405E"/>
    <w:rsid w:val="00CE18AF"/>
    <w:rsid w:val="00D102F7"/>
    <w:rsid w:val="00D22D79"/>
    <w:rsid w:val="00D2462B"/>
    <w:rsid w:val="00D96591"/>
    <w:rsid w:val="00DC5BB4"/>
    <w:rsid w:val="00DE34F2"/>
    <w:rsid w:val="00DE4B27"/>
    <w:rsid w:val="00DE645D"/>
    <w:rsid w:val="00E27E09"/>
    <w:rsid w:val="00E87C1E"/>
    <w:rsid w:val="00E94BD0"/>
    <w:rsid w:val="00F128C0"/>
    <w:rsid w:val="00F7466D"/>
    <w:rsid w:val="00FB761D"/>
    <w:rsid w:val="00FF3991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CD"/>
    <w:pPr>
      <w:widowControl w:val="0"/>
    </w:pPr>
    <w:rPr>
      <w:lang w:val="uk-UA" w:eastAsia="uk-UA"/>
    </w:rPr>
  </w:style>
  <w:style w:type="paragraph" w:styleId="Heading1">
    <w:name w:val="heading 1"/>
    <w:basedOn w:val="Normal"/>
    <w:link w:val="Heading1Char"/>
    <w:uiPriority w:val="99"/>
    <w:qFormat/>
    <w:rsid w:val="008B4690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24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24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24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24C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24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4690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E18AF"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E18AF"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E18AF"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E18AF"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E18AF"/>
    <w:rPr>
      <w:rFonts w:ascii="Calibri" w:hAnsi="Calibri" w:cs="Times New Roman"/>
      <w:b/>
      <w:bCs/>
      <w:lang w:val="uk-UA" w:eastAsia="uk-UA"/>
    </w:rPr>
  </w:style>
  <w:style w:type="table" w:customStyle="1" w:styleId="TableNormal1">
    <w:name w:val="Table Normal1"/>
    <w:uiPriority w:val="99"/>
    <w:rsid w:val="004624CD"/>
    <w:pPr>
      <w:widowControl w:val="0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4624C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CE18AF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table" w:customStyle="1" w:styleId="TableNormal2">
    <w:name w:val="Table Normal2"/>
    <w:uiPriority w:val="99"/>
    <w:semiHidden/>
    <w:rsid w:val="004624CD"/>
    <w:pPr>
      <w:widowControl w:val="0"/>
    </w:pPr>
    <w:rPr>
      <w:lang w:val="uk-UA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624C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E18AF"/>
    <w:rPr>
      <w:rFonts w:cs="Times New Roman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4624CD"/>
    <w:rPr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99"/>
    <w:rsid w:val="004624CD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8B46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B46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690"/>
    <w:rPr>
      <w:rFonts w:ascii="Segoe UI" w:hAnsi="Segoe UI" w:cs="Segoe UI"/>
      <w:sz w:val="18"/>
      <w:szCs w:val="18"/>
      <w:lang w:val="uk-UA" w:eastAsia="uk-UA"/>
    </w:rPr>
  </w:style>
  <w:style w:type="character" w:styleId="Hyperlink">
    <w:name w:val="Hyperlink"/>
    <w:basedOn w:val="DefaultParagraphFont"/>
    <w:uiPriority w:val="99"/>
    <w:rsid w:val="008B469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B4690"/>
    <w:pPr>
      <w:adjustRightInd w:val="0"/>
    </w:pPr>
    <w:rPr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8B4690"/>
    <w:rPr>
      <w:rFonts w:cs="Times New Roman"/>
      <w:b/>
      <w:bCs/>
    </w:rPr>
  </w:style>
  <w:style w:type="paragraph" w:customStyle="1" w:styleId="a">
    <w:name w:val="Знак Знак"/>
    <w:basedOn w:val="Normal"/>
    <w:uiPriority w:val="99"/>
    <w:rsid w:val="008B4690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4624C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E18AF"/>
    <w:rPr>
      <w:rFonts w:ascii="Cambria" w:hAnsi="Cambria" w:cs="Times New Roman"/>
      <w:sz w:val="24"/>
      <w:szCs w:val="24"/>
      <w:lang w:val="uk-UA" w:eastAsia="uk-UA"/>
    </w:rPr>
  </w:style>
  <w:style w:type="table" w:customStyle="1" w:styleId="a0">
    <w:name w:val="Стиль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тиль5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тиль4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тиль1"/>
    <w:basedOn w:val="TableNormal2"/>
    <w:uiPriority w:val="99"/>
    <w:rsid w:val="004624C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Normal11">
    <w:name w:val="Table Normal11"/>
    <w:uiPriority w:val="99"/>
    <w:semiHidden/>
    <w:rsid w:val="004C1518"/>
    <w:pPr>
      <w:widowControl w:val="0"/>
      <w:autoSpaceDE w:val="0"/>
      <w:autoSpaceDN w:val="0"/>
    </w:pPr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6A26DC"/>
    <w:rPr>
      <w:lang w:eastAsia="uk-UA"/>
    </w:rPr>
  </w:style>
  <w:style w:type="paragraph" w:styleId="BodyTextIndent">
    <w:name w:val="Body Text Indent"/>
    <w:basedOn w:val="Normal"/>
    <w:link w:val="BodyTextIndentChar"/>
    <w:uiPriority w:val="99"/>
    <w:semiHidden/>
    <w:rsid w:val="00F128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28C0"/>
    <w:rPr>
      <w:rFonts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52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4</Pages>
  <Words>774</Words>
  <Characters>4417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53</cp:revision>
  <cp:lastPrinted>2020-12-09T11:46:00Z</cp:lastPrinted>
  <dcterms:created xsi:type="dcterms:W3CDTF">2020-02-14T09:15:00Z</dcterms:created>
  <dcterms:modified xsi:type="dcterms:W3CDTF">2021-12-13T13:23:00Z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